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b/>
          <w:bCs/>
          <w:szCs w:val="24"/>
        </w:rPr>
      </w:pPr>
      <w:r>
        <w:rPr>
          <w:b/>
          <w:bCs/>
          <w:szCs w:val="24"/>
        </w:rPr>
        <w:t>OPIS ŠTUDIJNÉHO PROGRAMU – OSNOVA</w:t>
      </w:r>
    </w:p>
    <w:p>
      <w:pPr>
        <w:pStyle w:val="Normal"/>
        <w:spacing w:before="0" w:after="60"/>
        <w:rPr>
          <w:rFonts w:cs="Calibri"/>
          <w:b/>
          <w:b/>
          <w:bCs/>
          <w:sz w:val="24"/>
          <w:szCs w:val="16"/>
        </w:rPr>
      </w:pPr>
      <w:r>
        <w:rPr>
          <w:rFonts w:cs="Calibri"/>
          <w:b/>
          <w:bCs/>
          <w:sz w:val="24"/>
          <w:szCs w:val="16"/>
        </w:rPr>
      </w:r>
    </w:p>
    <w:p>
      <w:pPr>
        <w:pStyle w:val="Normal"/>
        <w:spacing w:lineRule="auto" w:line="240" w:before="80" w:after="80"/>
        <w:jc w:val="both"/>
        <w:rPr/>
      </w:pPr>
      <w:r>
        <w:rPr>
          <w:rFonts w:cs="Calibri"/>
          <w:b/>
          <w:sz w:val="24"/>
        </w:rPr>
        <w:t>Vysoká škola:</w:t>
      </w:r>
      <w:r>
        <w:rPr>
          <w:rFonts w:cs="Calibri"/>
          <w:sz w:val="24"/>
        </w:rPr>
        <w:t xml:space="preserve"> </w:t>
      </w:r>
      <w:r>
        <w:rPr>
          <w:rFonts w:cs="Calibri"/>
          <w:i/>
          <w:sz w:val="24"/>
        </w:rPr>
        <w:t>Prešovská univerzita v Prešove</w:t>
      </w:r>
    </w:p>
    <w:p>
      <w:pPr>
        <w:pStyle w:val="Normal"/>
        <w:spacing w:lineRule="auto" w:line="240" w:before="80" w:after="80"/>
        <w:rPr/>
      </w:pPr>
      <w:r>
        <w:rPr>
          <w:rFonts w:cs="Calibri"/>
          <w:b/>
          <w:bCs/>
          <w:sz w:val="24"/>
          <w:szCs w:val="24"/>
        </w:rPr>
        <w:t xml:space="preserve">Fakulta/pracovisko: </w:t>
      </w:r>
      <w:r>
        <w:rPr>
          <w:rFonts w:cs="Calibri"/>
          <w:i/>
          <w:sz w:val="24"/>
          <w:szCs w:val="24"/>
        </w:rPr>
        <w:t>Filozofická fakulta</w:t>
      </w:r>
    </w:p>
    <w:p>
      <w:pPr>
        <w:pStyle w:val="Normal"/>
        <w:spacing w:lineRule="auto" w:line="240" w:before="80" w:after="80"/>
        <w:rPr/>
      </w:pPr>
      <w:r>
        <w:rPr>
          <w:rFonts w:cs="Calibri"/>
          <w:b/>
          <w:bCs/>
          <w:sz w:val="24"/>
          <w:szCs w:val="24"/>
        </w:rPr>
        <w:t>Sídlo fakulty/pracoviska (adresa):</w:t>
      </w:r>
      <w:r>
        <w:rPr>
          <w:rFonts w:cs="Calibri"/>
          <w:b/>
          <w:bCs/>
          <w:sz w:val="16"/>
          <w:szCs w:val="16"/>
        </w:rPr>
        <w:t xml:space="preserve"> </w:t>
      </w:r>
      <w:r>
        <w:rPr>
          <w:rFonts w:cs="Calibri"/>
          <w:bCs/>
          <w:i/>
          <w:color w:val="808080"/>
          <w:sz w:val="24"/>
          <w:szCs w:val="16"/>
        </w:rPr>
        <w:t>Ul. 17. novembra č. 1, 080 01 Prešov</w:t>
      </w:r>
    </w:p>
    <w:p>
      <w:pPr>
        <w:pStyle w:val="Normal"/>
        <w:tabs>
          <w:tab w:val="clear" w:pos="708"/>
          <w:tab w:val="center" w:pos="4536" w:leader="none"/>
        </w:tabs>
        <w:spacing w:lineRule="auto" w:line="240" w:before="0" w:after="0"/>
        <w:rPr/>
      </w:pPr>
      <w:r>
        <w:rPr>
          <w:rFonts w:cs="Calibri"/>
          <w:sz w:val="16"/>
          <w:szCs w:val="16"/>
        </w:rPr>
        <w:t xml:space="preserve">Orgán vysokej školy na schvaľovanie študijného programu: </w:t>
      </w:r>
      <w:r>
        <w:rPr>
          <w:rFonts w:cs="Calibri"/>
          <w:i/>
          <w:iCs/>
          <w:color w:val="000000"/>
          <w:sz w:val="16"/>
          <w:szCs w:val="16"/>
        </w:rPr>
        <w:t>Ad hoc komisia Prešovskej univerzity v Prešove pre schválenie žiadosti o udelenie akreditácie študijného programu</w:t>
      </w:r>
      <w:r>
        <w:rPr>
          <w:rFonts w:cs="Calibri"/>
          <w:sz w:val="16"/>
          <w:szCs w:val="16"/>
        </w:rPr>
        <w:t xml:space="preserve"> </w:t>
        <w:tab/>
      </w:r>
    </w:p>
    <w:p>
      <w:pPr>
        <w:pStyle w:val="Normal"/>
        <w:spacing w:lineRule="auto" w:line="240" w:before="0" w:after="0"/>
        <w:ind w:left="360" w:right="0" w:hanging="360"/>
        <w:rPr>
          <w:rFonts w:cs="Calibri"/>
          <w:sz w:val="16"/>
          <w:szCs w:val="16"/>
        </w:rPr>
      </w:pPr>
      <w:r>
        <w:rPr>
          <w:rFonts w:cs="Calibri"/>
          <w:sz w:val="16"/>
          <w:szCs w:val="16"/>
        </w:rPr>
        <w:t xml:space="preserve">Dátum schválenia študijného programu alebo úpravy študijného programu: </w:t>
      </w:r>
    </w:p>
    <w:p>
      <w:pPr>
        <w:pStyle w:val="Normal"/>
        <w:spacing w:lineRule="auto" w:line="240" w:before="0" w:after="0"/>
        <w:ind w:left="360" w:right="0" w:hanging="360"/>
        <w:rPr/>
      </w:pPr>
      <w:r>
        <w:rPr>
          <w:rFonts w:cs="Calibri"/>
          <w:sz w:val="16"/>
          <w:szCs w:val="16"/>
        </w:rPr>
        <w:t>Dátum ostatnej zmeny</w:t>
      </w:r>
      <w:r>
        <w:rPr>
          <w:rStyle w:val="FootnoteAnchor"/>
          <w:rFonts w:cs="Calibri"/>
          <w:szCs w:val="16"/>
        </w:rPr>
        <w:footnoteReference w:id="2"/>
      </w:r>
      <w:r>
        <w:rPr>
          <w:rFonts w:cs="Calibri"/>
          <w:sz w:val="16"/>
          <w:szCs w:val="16"/>
        </w:rPr>
        <w:t xml:space="preserve"> opisu študijného programu: </w:t>
      </w:r>
    </w:p>
    <w:p>
      <w:pPr>
        <w:pStyle w:val="Normal"/>
        <w:spacing w:lineRule="auto" w:line="240" w:before="0" w:after="0"/>
        <w:ind w:left="360" w:right="0" w:hanging="360"/>
        <w:rPr>
          <w:rFonts w:cs="Calibri"/>
          <w:sz w:val="16"/>
          <w:szCs w:val="16"/>
        </w:rPr>
      </w:pPr>
      <w:r>
        <w:rPr>
          <w:rFonts w:cs="Calibri"/>
          <w:sz w:val="16"/>
          <w:szCs w:val="16"/>
        </w:rPr>
        <w:t xml:space="preserve">Odkaz na výsledky ostatného periodického hodnotenia študijného programu vysokou školou: </w:t>
      </w:r>
    </w:p>
    <w:p>
      <w:pPr>
        <w:pStyle w:val="Normal"/>
        <w:spacing w:lineRule="auto" w:line="240" w:before="0" w:after="0"/>
        <w:ind w:left="360" w:right="0" w:hanging="360"/>
        <w:rPr/>
      </w:pPr>
      <w:r>
        <w:rPr>
          <w:rFonts w:cs="Calibri"/>
          <w:sz w:val="16"/>
          <w:szCs w:val="16"/>
        </w:rPr>
        <w:t xml:space="preserve">Odkaz na hodnotiacu správu k žiadosti o akreditáciu študijného programu </w:t>
      </w:r>
      <w:r>
        <w:rPr>
          <w:rFonts w:cs="Calibri"/>
          <w:sz w:val="16"/>
          <w:szCs w:val="16"/>
          <w:lang w:eastAsia="sk-SK"/>
        </w:rPr>
        <w:t>podľa § 30 zákona č. 269/2018 Z. z.</w:t>
      </w:r>
      <w:r>
        <w:rPr>
          <w:rStyle w:val="FootnoteAnchor"/>
          <w:rFonts w:cs="Calibri"/>
          <w:szCs w:val="16"/>
          <w:lang w:eastAsia="sk-SK"/>
        </w:rPr>
        <w:footnoteReference w:id="3"/>
      </w:r>
      <w:r>
        <w:rPr>
          <w:rFonts w:cs="Calibri"/>
          <w:sz w:val="16"/>
          <w:szCs w:val="16"/>
          <w:lang w:eastAsia="sk-SK"/>
        </w:rPr>
        <w:t xml:space="preserve">: </w:t>
      </w:r>
    </w:p>
    <w:p>
      <w:pPr>
        <w:pStyle w:val="Normal"/>
        <w:spacing w:lineRule="auto" w:line="240" w:before="0" w:after="0"/>
        <w:ind w:left="360" w:right="0" w:hanging="360"/>
        <w:rPr>
          <w:rFonts w:cs="Calibri"/>
          <w:sz w:val="16"/>
          <w:szCs w:val="16"/>
        </w:rPr>
      </w:pPr>
      <w:r>
        <w:rPr>
          <w:rFonts w:cs="Calibri"/>
          <w:sz w:val="16"/>
          <w:szCs w:val="16"/>
        </w:rPr>
      </w:r>
    </w:p>
    <w:p>
      <w:pPr>
        <w:pStyle w:val="ListParagraph"/>
        <w:numPr>
          <w:ilvl w:val="0"/>
          <w:numId w:val="1"/>
        </w:numPr>
        <w:spacing w:lineRule="auto" w:line="240" w:before="0" w:after="0"/>
        <w:ind w:left="360" w:right="0" w:hanging="360"/>
        <w:contextualSpacing/>
        <w:rPr>
          <w:rFonts w:cs="Calibri"/>
          <w:b/>
          <w:b/>
          <w:bCs/>
          <w:sz w:val="16"/>
          <w:szCs w:val="16"/>
        </w:rPr>
      </w:pPr>
      <w:r>
        <w:rPr>
          <w:rFonts w:cs="Calibri"/>
          <w:b/>
          <w:bCs/>
          <w:sz w:val="16"/>
          <w:szCs w:val="16"/>
        </w:rPr>
        <w:t xml:space="preserve">Základné údaje o študijnom programe </w:t>
      </w:r>
    </w:p>
    <w:p>
      <w:pPr>
        <w:pStyle w:val="ListParagraph"/>
        <w:numPr>
          <w:ilvl w:val="0"/>
          <w:numId w:val="2"/>
        </w:numPr>
        <w:spacing w:lineRule="auto" w:line="240" w:before="0" w:after="0"/>
        <w:ind w:left="360" w:right="0" w:hanging="360"/>
        <w:contextualSpacing/>
        <w:rPr/>
      </w:pPr>
      <w:r>
        <w:rPr>
          <w:rFonts w:cs="Calibri"/>
          <w:sz w:val="16"/>
          <w:szCs w:val="16"/>
        </w:rPr>
        <w:t xml:space="preserve">Názov študijného programu a číslo podľa registra študijných programov. </w:t>
        <w:br/>
      </w:r>
      <w:r>
        <w:rPr>
          <w:rFonts w:cs="Calibri"/>
          <w:i/>
          <w:sz w:val="16"/>
          <w:szCs w:val="16"/>
        </w:rPr>
        <w:t xml:space="preserve">          učiteľstvo výtvarného umenia (v kombinácii) (102181)</w:t>
      </w:r>
    </w:p>
    <w:p>
      <w:pPr>
        <w:pStyle w:val="ListParagraph"/>
        <w:numPr>
          <w:ilvl w:val="0"/>
          <w:numId w:val="2"/>
        </w:numPr>
        <w:spacing w:lineRule="auto" w:line="240" w:before="0" w:after="0"/>
        <w:ind w:left="360" w:right="0" w:hanging="360"/>
        <w:contextualSpacing/>
        <w:rPr/>
      </w:pPr>
      <w:r>
        <w:rPr>
          <w:rFonts w:cs="Calibri"/>
          <w:sz w:val="16"/>
          <w:szCs w:val="16"/>
        </w:rPr>
        <w:t>Stupeň vysokoškolského štúdia a ISCED-F kód stupňa vzdelávania.</w:t>
        <w:br/>
        <w:t xml:space="preserve">         </w:t>
      </w:r>
      <w:r>
        <w:rPr>
          <w:rFonts w:cs="Calibri"/>
          <w:i/>
          <w:sz w:val="16"/>
          <w:szCs w:val="16"/>
        </w:rPr>
        <w:t xml:space="preserve">1.. stupeň ( Bc.) </w:t>
      </w:r>
      <w:r>
        <w:rPr>
          <w:rFonts w:cs="Calibri"/>
          <w:sz w:val="16"/>
          <w:szCs w:val="16"/>
        </w:rPr>
        <w:t>ISCED-F kód 645</w:t>
      </w:r>
    </w:p>
    <w:p>
      <w:pPr>
        <w:pStyle w:val="ListParagraph"/>
        <w:numPr>
          <w:ilvl w:val="0"/>
          <w:numId w:val="2"/>
        </w:numPr>
        <w:spacing w:lineRule="auto" w:line="240" w:before="0" w:after="0"/>
        <w:ind w:left="360" w:right="0" w:hanging="360"/>
        <w:contextualSpacing/>
        <w:rPr/>
      </w:pPr>
      <w:r>
        <w:rPr>
          <w:rFonts w:cs="Calibri"/>
          <w:sz w:val="16"/>
          <w:szCs w:val="16"/>
        </w:rPr>
        <w:t xml:space="preserve">Miesto/-a uskutočňovania študijného programu. </w:t>
        <w:br/>
        <w:t xml:space="preserve">          </w:t>
      </w:r>
      <w:r>
        <w:rPr>
          <w:rFonts w:cs="Calibri"/>
          <w:i/>
          <w:sz w:val="16"/>
          <w:szCs w:val="16"/>
        </w:rPr>
        <w:t>Prešov, 17. novembra č. 1</w:t>
      </w:r>
    </w:p>
    <w:p>
      <w:pPr>
        <w:pStyle w:val="ListParagraph"/>
        <w:numPr>
          <w:ilvl w:val="0"/>
          <w:numId w:val="2"/>
        </w:numPr>
        <w:spacing w:lineRule="auto" w:line="240" w:before="0" w:after="0"/>
        <w:ind w:left="360" w:right="0" w:hanging="360"/>
        <w:contextualSpacing/>
        <w:rPr/>
      </w:pPr>
      <w:r>
        <w:rPr>
          <w:rFonts w:cs="Calibri"/>
          <w:sz w:val="16"/>
          <w:szCs w:val="16"/>
        </w:rPr>
        <w:t xml:space="preserve">Názov a číslo študijného odboru, v ktorom sa absolvovaním študijného programu získa vysokoškolské vzdelanie, alebo kombinácia dvoch študijných odborov, v ktorých sa absolvovaním študijného programu získa vysokoškolské vzdelanie, </w:t>
      </w:r>
      <w:r>
        <w:rPr>
          <w:rFonts w:cs="Calibri"/>
          <w:color w:val="000000"/>
          <w:sz w:val="16"/>
          <w:szCs w:val="16"/>
        </w:rPr>
        <w:t>ISCED-F kódy odboru/ odborov</w:t>
      </w:r>
      <w:r>
        <w:rPr>
          <w:rStyle w:val="FootnoteAnchor"/>
          <w:rFonts w:cs="Calibri"/>
          <w:color w:val="000000"/>
          <w:szCs w:val="16"/>
        </w:rPr>
        <w:footnoteReference w:id="4"/>
      </w:r>
      <w:r>
        <w:rPr>
          <w:rFonts w:cs="Calibri"/>
          <w:color w:val="000000"/>
          <w:sz w:val="16"/>
          <w:szCs w:val="16"/>
        </w:rPr>
        <w:t xml:space="preserve">. </w:t>
      </w:r>
    </w:p>
    <w:p>
      <w:pPr>
        <w:pStyle w:val="ListParagraph"/>
        <w:numPr>
          <w:ilvl w:val="0"/>
          <w:numId w:val="2"/>
        </w:numPr>
        <w:spacing w:lineRule="auto" w:line="240" w:before="0" w:after="0"/>
        <w:ind w:left="360" w:right="0" w:hanging="360"/>
        <w:contextualSpacing/>
        <w:rPr/>
      </w:pPr>
      <w:r>
        <w:rPr>
          <w:rFonts w:eastAsia="Calibri" w:cs="Calibri"/>
          <w:i/>
          <w:iCs/>
          <w:color w:val="000000"/>
          <w:sz w:val="16"/>
          <w:szCs w:val="16"/>
        </w:rPr>
        <w:t xml:space="preserve">učiteľstvo a pedagogické vedy 7605T00, ISCED-F kód </w:t>
      </w:r>
      <w:r>
        <w:rPr>
          <w:rFonts w:cs="Calibri"/>
          <w:sz w:val="16"/>
          <w:szCs w:val="16"/>
        </w:rPr>
        <w:t>645</w:t>
      </w:r>
      <w:r>
        <w:rPr>
          <w:rFonts w:eastAsia="Calibri" w:cs="Calibri"/>
          <w:i/>
          <w:iCs/>
          <w:color w:val="000000"/>
          <w:sz w:val="16"/>
          <w:szCs w:val="16"/>
        </w:rPr>
        <w:t xml:space="preserve">  0114 Príprava pre učiteľov s predmetovou špecializáci</w:t>
      </w:r>
      <w:r>
        <w:rPr>
          <w:rFonts w:cs="Calibri"/>
          <w:color w:val="000000"/>
          <w:sz w:val="16"/>
          <w:szCs w:val="16"/>
        </w:rPr>
        <w:t xml:space="preserve">ou         </w:t>
      </w:r>
    </w:p>
    <w:p>
      <w:pPr>
        <w:pStyle w:val="ListParagraph"/>
        <w:numPr>
          <w:ilvl w:val="0"/>
          <w:numId w:val="2"/>
        </w:numPr>
        <w:spacing w:lineRule="auto" w:line="240" w:before="0" w:after="0"/>
        <w:ind w:left="360" w:right="0" w:hanging="360"/>
        <w:contextualSpacing/>
        <w:jc w:val="both"/>
        <w:rPr/>
      </w:pPr>
      <w:r>
        <w:rPr>
          <w:rFonts w:cs="Calibri"/>
          <w:color w:val="000000"/>
          <w:sz w:val="16"/>
          <w:szCs w:val="16"/>
        </w:rPr>
        <w:t>Typ študijného programu:  akademicky orientovaný, profesijne orientovaný; prekladateľský, prekladateľský kombinačný (s uvedením aprobácií); učiteľský, učiteľský kombinačný študijný program (s uvedením aprobácií); umelecký, inžiniersky, doktorský, príprava na výkon regulovaného povolania, spoločný študijný program, interdisciplinárne štúdiá.</w:t>
      </w:r>
      <w:r>
        <w:rPr>
          <w:rFonts w:eastAsia="Calibri" w:cs="Calibri"/>
          <w:i/>
          <w:iCs/>
          <w:color w:val="000000"/>
          <w:sz w:val="16"/>
          <w:szCs w:val="16"/>
        </w:rPr>
        <w:t xml:space="preserve"> </w:t>
      </w:r>
    </w:p>
    <w:p>
      <w:pPr>
        <w:pStyle w:val="Normal"/>
        <w:spacing w:lineRule="auto" w:line="240" w:before="0" w:after="0"/>
        <w:ind w:left="0" w:right="0" w:firstLine="708"/>
        <w:jc w:val="both"/>
        <w:rPr>
          <w:rFonts w:eastAsia="Calibri" w:cs="Calibri"/>
          <w:i/>
          <w:i/>
          <w:iCs/>
          <w:color w:val="000000"/>
          <w:sz w:val="16"/>
          <w:szCs w:val="16"/>
        </w:rPr>
      </w:pPr>
      <w:r>
        <w:rPr>
          <w:rFonts w:eastAsia="Calibri" w:cs="Calibri"/>
          <w:i/>
          <w:iCs/>
          <w:color w:val="000000"/>
          <w:sz w:val="16"/>
          <w:szCs w:val="16"/>
        </w:rPr>
        <w:t xml:space="preserve">Učiteľský kombinačný študijný program; aprobácie: napr. slovenský jazyk, nemecký jazyk, technická výchova, </w:t>
        <w:tab/>
        <w:t xml:space="preserve">geografia, dejepis, biológia, telesná výchova a šport, hudobné umenie. </w:t>
      </w:r>
    </w:p>
    <w:p>
      <w:pPr>
        <w:pStyle w:val="ListParagraph"/>
        <w:numPr>
          <w:ilvl w:val="0"/>
          <w:numId w:val="2"/>
        </w:numPr>
        <w:spacing w:lineRule="auto" w:line="240" w:before="0" w:after="0"/>
        <w:ind w:left="360" w:right="0" w:hanging="360"/>
        <w:contextualSpacing/>
        <w:rPr/>
      </w:pPr>
      <w:r>
        <w:rPr>
          <w:rFonts w:cs="Calibri"/>
          <w:sz w:val="16"/>
          <w:szCs w:val="16"/>
        </w:rPr>
        <w:t>Udeľovaný akademický titul.</w:t>
        <w:br/>
        <w:t xml:space="preserve">          </w:t>
      </w:r>
      <w:r>
        <w:rPr>
          <w:rFonts w:cs="Calibri"/>
          <w:i/>
          <w:sz w:val="16"/>
          <w:szCs w:val="16"/>
        </w:rPr>
        <w:t>Bc. (bakalár)</w:t>
      </w:r>
    </w:p>
    <w:p>
      <w:pPr>
        <w:pStyle w:val="ListParagraph"/>
        <w:numPr>
          <w:ilvl w:val="0"/>
          <w:numId w:val="2"/>
        </w:numPr>
        <w:spacing w:lineRule="auto" w:line="240" w:before="0" w:after="0"/>
        <w:ind w:left="360" w:right="0" w:hanging="360"/>
        <w:contextualSpacing/>
        <w:rPr/>
      </w:pPr>
      <w:r>
        <w:rPr>
          <w:rFonts w:cs="Calibri"/>
          <w:sz w:val="16"/>
          <w:szCs w:val="16"/>
        </w:rPr>
        <w:t>Forma štúdia</w:t>
      </w:r>
      <w:r>
        <w:rPr>
          <w:rStyle w:val="FootnoteAnchor"/>
          <w:rFonts w:cs="Calibri"/>
          <w:szCs w:val="16"/>
        </w:rPr>
        <w:footnoteReference w:id="5"/>
      </w:r>
      <w:r>
        <w:rPr>
          <w:rFonts w:cs="Calibri"/>
          <w:sz w:val="16"/>
          <w:szCs w:val="16"/>
        </w:rPr>
        <w:t xml:space="preserve">. </w:t>
        <w:br/>
        <w:t xml:space="preserve">           </w:t>
      </w:r>
      <w:r>
        <w:rPr>
          <w:rFonts w:cs="Calibri"/>
          <w:i/>
          <w:sz w:val="16"/>
          <w:szCs w:val="16"/>
        </w:rPr>
        <w:t>Denná</w:t>
      </w:r>
    </w:p>
    <w:p>
      <w:pPr>
        <w:pStyle w:val="ListParagraph"/>
        <w:numPr>
          <w:ilvl w:val="0"/>
          <w:numId w:val="2"/>
        </w:numPr>
        <w:spacing w:lineRule="auto" w:line="240" w:before="0" w:after="0"/>
        <w:ind w:left="360" w:right="0" w:hanging="360"/>
        <w:contextualSpacing/>
        <w:rPr>
          <w:rFonts w:cs="Calibri"/>
          <w:sz w:val="16"/>
          <w:szCs w:val="16"/>
        </w:rPr>
      </w:pPr>
      <w:r>
        <w:rPr>
          <w:rFonts w:cs="Calibri"/>
          <w:sz w:val="16"/>
          <w:szCs w:val="16"/>
        </w:rPr>
        <w:t>Pri spoločných študijných programoch spolupracujúce vysoké školy a vymedzenie, ktoré študijné povinnosti plní študent na ktorej vysokej škole (§ 54a zákona o vysokých školách).</w:t>
      </w:r>
    </w:p>
    <w:p>
      <w:pPr>
        <w:pStyle w:val="ListParagraph"/>
        <w:numPr>
          <w:ilvl w:val="0"/>
          <w:numId w:val="2"/>
        </w:numPr>
        <w:spacing w:lineRule="auto" w:line="240" w:before="0" w:after="0"/>
        <w:ind w:left="360" w:right="0" w:hanging="360"/>
        <w:contextualSpacing/>
        <w:rPr/>
      </w:pPr>
      <w:r>
        <w:rPr>
          <w:rFonts w:cs="Calibri"/>
          <w:sz w:val="16"/>
          <w:szCs w:val="16"/>
        </w:rPr>
        <w:t>Jazyk alebo jazyky, v ktorých sa študijný program uskutočňuje</w:t>
      </w:r>
      <w:r>
        <w:rPr>
          <w:rStyle w:val="FootnoteAnchor"/>
          <w:rFonts w:cs="Calibri"/>
          <w:szCs w:val="16"/>
        </w:rPr>
        <w:footnoteReference w:id="6"/>
      </w:r>
      <w:r>
        <w:rPr>
          <w:rFonts w:cs="Calibri"/>
          <w:sz w:val="16"/>
          <w:szCs w:val="16"/>
        </w:rPr>
        <w:t xml:space="preserve">. </w:t>
        <w:br/>
        <w:t xml:space="preserve">          </w:t>
      </w:r>
      <w:r>
        <w:rPr>
          <w:rFonts w:cs="Calibri"/>
          <w:i/>
          <w:sz w:val="16"/>
          <w:szCs w:val="16"/>
        </w:rPr>
        <w:t>slovenský jazyk</w:t>
      </w:r>
    </w:p>
    <w:p>
      <w:pPr>
        <w:pStyle w:val="ListParagraph"/>
        <w:numPr>
          <w:ilvl w:val="0"/>
          <w:numId w:val="2"/>
        </w:numPr>
        <w:spacing w:lineRule="auto" w:line="240" w:before="0" w:after="0"/>
        <w:ind w:left="360" w:right="0" w:hanging="360"/>
        <w:contextualSpacing/>
        <w:rPr/>
      </w:pPr>
      <w:r>
        <w:rPr>
          <w:rFonts w:cs="Calibri"/>
          <w:sz w:val="16"/>
          <w:szCs w:val="16"/>
        </w:rPr>
        <w:t>Štandardná dĺžka štúdia vyjadrená v akademických rokoch.</w:t>
        <w:br/>
        <w:t xml:space="preserve">         3</w:t>
      </w:r>
      <w:r>
        <w:rPr>
          <w:rFonts w:cs="Calibri"/>
          <w:i/>
          <w:sz w:val="16"/>
          <w:szCs w:val="16"/>
        </w:rPr>
        <w:t xml:space="preserve"> roky</w:t>
      </w:r>
    </w:p>
    <w:p>
      <w:pPr>
        <w:pStyle w:val="ListParagraph"/>
        <w:numPr>
          <w:ilvl w:val="0"/>
          <w:numId w:val="2"/>
        </w:numPr>
        <w:spacing w:lineRule="auto" w:line="240" w:before="0" w:after="0"/>
        <w:ind w:left="360" w:right="0" w:hanging="360"/>
        <w:contextualSpacing/>
        <w:rPr/>
      </w:pPr>
      <w:r>
        <w:rPr>
          <w:rFonts w:cs="Calibri"/>
          <w:sz w:val="16"/>
          <w:szCs w:val="16"/>
        </w:rPr>
        <w:t>Kapacita študijného programu (plánovaný počet študentov), skutočný počet uchádzačov a počet študentov.</w:t>
        <w:br/>
      </w:r>
      <w:r>
        <w:rPr>
          <w:rFonts w:eastAsia="Calibri" w:cs="Calibri"/>
          <w:i/>
          <w:iCs/>
          <w:color w:val="000000"/>
          <w:sz w:val="16"/>
          <w:szCs w:val="16"/>
        </w:rPr>
        <w:t>Kapacita pri dennej forme B štúdia je do 20  študentov. Skutočný počet uchádzačov v roku 2021 bol  12 uchádzačov, v roku 2020/21 je zapísaných  je 12 študentov</w:t>
      </w:r>
      <w:r>
        <w:rPr>
          <w:rFonts w:cs="Calibri"/>
          <w:sz w:val="16"/>
          <w:szCs w:val="16"/>
        </w:rPr>
        <w:t xml:space="preserve"> </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1"/>
        </w:numPr>
        <w:spacing w:lineRule="auto" w:line="240" w:before="0" w:after="0"/>
        <w:ind w:left="360" w:right="0" w:hanging="360"/>
        <w:contextualSpacing/>
        <w:rPr>
          <w:rFonts w:cs="Calibri"/>
          <w:b/>
          <w:b/>
          <w:bCs/>
          <w:sz w:val="16"/>
          <w:szCs w:val="16"/>
        </w:rPr>
      </w:pPr>
      <w:r>
        <w:rPr>
          <w:rFonts w:cs="Calibri"/>
          <w:b/>
          <w:bCs/>
          <w:sz w:val="16"/>
          <w:szCs w:val="16"/>
        </w:rPr>
        <w:t xml:space="preserve">Profil absolventa a ciele vzdelávania </w:t>
      </w:r>
    </w:p>
    <w:p>
      <w:pPr>
        <w:pStyle w:val="ListParagraph"/>
        <w:numPr>
          <w:ilvl w:val="0"/>
          <w:numId w:val="4"/>
        </w:numPr>
        <w:spacing w:lineRule="auto" w:line="240" w:before="0" w:after="0"/>
        <w:ind w:left="360" w:right="0" w:hanging="360"/>
        <w:contextualSpacing/>
        <w:jc w:val="both"/>
        <w:rPr/>
      </w:pPr>
      <w:r>
        <w:rPr>
          <w:rFonts w:cs="Calibri"/>
          <w:color w:val="000000"/>
          <w:sz w:val="16"/>
          <w:szCs w:val="16"/>
        </w:rPr>
        <w:t xml:space="preserve">Vysoká škola popíše ciele vzdelávania študijného programu ako </w:t>
      </w:r>
      <w:r>
        <w:rPr>
          <w:rFonts w:cs="Calibri"/>
          <w:sz w:val="16"/>
          <w:szCs w:val="16"/>
        </w:rPr>
        <w:t xml:space="preserve">schopnosti </w:t>
      </w:r>
      <w:r>
        <w:rPr>
          <w:rFonts w:cs="Calibri"/>
          <w:color w:val="000000"/>
          <w:sz w:val="16"/>
          <w:szCs w:val="16"/>
        </w:rPr>
        <w:t>študenta v čase ukončenia študijného programu a hlavné výstupy vzdelávania</w:t>
      </w:r>
      <w:r>
        <w:rPr>
          <w:rStyle w:val="FootnoteAnchor"/>
          <w:rFonts w:cs="Calibri"/>
          <w:color w:val="000000"/>
          <w:szCs w:val="16"/>
        </w:rPr>
        <w:footnoteReference w:id="7"/>
      </w:r>
      <w:r>
        <w:rPr>
          <w:rFonts w:cs="Calibri"/>
          <w:color w:val="000000"/>
          <w:sz w:val="16"/>
          <w:szCs w:val="16"/>
        </w:rPr>
        <w:t xml:space="preserve">. </w:t>
      </w:r>
    </w:p>
    <w:p>
      <w:pPr>
        <w:pStyle w:val="ListParagraph"/>
        <w:suppressAutoHyphens w:val="true"/>
        <w:spacing w:lineRule="auto" w:line="240" w:before="0" w:after="0"/>
        <w:ind w:left="360" w:right="0" w:hanging="0"/>
        <w:contextualSpacing/>
        <w:jc w:val="both"/>
        <w:rPr/>
      </w:pPr>
      <w:r>
        <w:rPr>
          <w:rFonts w:cs="Calibri"/>
          <w:b/>
          <w:sz w:val="16"/>
          <w:szCs w:val="16"/>
        </w:rPr>
        <w:t>Absolvent 1. stupňa</w:t>
      </w:r>
      <w:r>
        <w:rPr>
          <w:rFonts w:cs="Calibri"/>
          <w:sz w:val="16"/>
          <w:szCs w:val="16"/>
        </w:rPr>
        <w:t xml:space="preserve"> vysokoškolského vzdelávania študijného programu Učiteľstvo výtvarného umenia v kombinácii v študijnom odbore  Učiteľstvo a pedagogické vedy je odborne pripravený pokračovať v štúdiu tohto odboru na 2. stupni vysokoškolského vzdelávania. </w:t>
      </w:r>
      <w:r>
        <w:rPr>
          <w:rFonts w:cs="Calibri"/>
          <w:sz w:val="16"/>
          <w:szCs w:val="16"/>
          <w:lang w:eastAsia="x-none"/>
        </w:rPr>
        <w:t xml:space="preserve">Disponuje základnými kompetenciami vo všeobecnom filozofickom, sociologickom, pedagogickom a psychologickom základe a vo výtvarno-teoretických disciplínach. Orientuje sa v </w:t>
      </w:r>
      <w:r>
        <w:rPr>
          <w:rFonts w:cs="Calibri"/>
          <w:sz w:val="16"/>
          <w:szCs w:val="16"/>
        </w:rPr>
        <w:t>legislatívnych súvislostiach výchovy a vzdelávania a nadobudol digitálne kompetencie učiteľa.</w:t>
      </w:r>
      <w:r>
        <w:rPr>
          <w:rFonts w:cs="Calibri"/>
          <w:sz w:val="16"/>
          <w:szCs w:val="16"/>
          <w:lang w:eastAsia="x-none"/>
        </w:rPr>
        <w:t xml:space="preserve"> V oblasti praktických umeleckých zručností a spôsobilostí preukazuje pokročilú úroveň znalostí a kompetencií v kresbe a grafike, maľbe, a v dejinách umenia vymedzenou požiadavkami na absolvovanie praktickej štátnej záverečnej skúšky.</w:t>
      </w:r>
      <w:r>
        <w:rPr>
          <w:rFonts w:cs="Calibri"/>
          <w:sz w:val="16"/>
          <w:szCs w:val="16"/>
        </w:rPr>
        <w:t xml:space="preserve"> </w:t>
      </w:r>
      <w:r>
        <w:rPr>
          <w:rFonts w:cs="Calibri"/>
          <w:sz w:val="16"/>
          <w:szCs w:val="16"/>
          <w:lang w:eastAsia="x-none"/>
        </w:rPr>
        <w:t xml:space="preserve">Získané odborné vedomosti, schopnosti a praktické zručnosti </w:t>
      </w:r>
      <w:r>
        <w:rPr>
          <w:rFonts w:cs="Calibri"/>
          <w:sz w:val="16"/>
          <w:szCs w:val="16"/>
        </w:rPr>
        <w:t>vie</w:t>
      </w:r>
      <w:r>
        <w:rPr>
          <w:rFonts w:cs="Calibri"/>
          <w:sz w:val="16"/>
          <w:szCs w:val="16"/>
          <w:lang w:eastAsia="x-none"/>
        </w:rPr>
        <w:t xml:space="preserve"> aplikovať pri plánovaní a realizácii edukačného výtvarného procesu v ZŠ, v ZUŠ, vo formách neformálneho a informálneho vzdelávania. Absolvent má uplatnenie aj v kultúrnych a osvetových inštitúciách.</w:t>
      </w:r>
    </w:p>
    <w:p>
      <w:pPr>
        <w:pStyle w:val="BodyTextIndent2"/>
        <w:spacing w:lineRule="auto" w:line="240" w:before="0" w:after="0"/>
        <w:ind w:left="0" w:right="0" w:hanging="0"/>
        <w:jc w:val="both"/>
        <w:rPr>
          <w:rFonts w:ascii="Times New Roman" w:hAnsi="Times New Roman"/>
          <w:i/>
          <w:i/>
          <w:sz w:val="16"/>
          <w:szCs w:val="16"/>
        </w:rPr>
      </w:pPr>
      <w:r>
        <w:rPr>
          <w:rFonts w:ascii="Times New Roman" w:hAnsi="Times New Roman"/>
          <w:i/>
          <w:sz w:val="16"/>
          <w:szCs w:val="16"/>
        </w:rPr>
      </w:r>
    </w:p>
    <w:p>
      <w:pPr>
        <w:pStyle w:val="Footer"/>
        <w:tabs>
          <w:tab w:val="left" w:pos="708" w:leader="none"/>
          <w:tab w:val="center" w:pos="4536" w:leader="none"/>
          <w:tab w:val="right" w:pos="9072" w:leader="none"/>
        </w:tabs>
        <w:ind w:left="360" w:right="0" w:hanging="0"/>
        <w:rPr>
          <w:b/>
          <w:b/>
          <w:i/>
          <w:i/>
          <w:sz w:val="16"/>
          <w:szCs w:val="16"/>
        </w:rPr>
      </w:pPr>
      <w:r>
        <w:rPr>
          <w:b/>
          <w:i/>
          <w:sz w:val="16"/>
          <w:szCs w:val="16"/>
        </w:rPr>
        <w:t>Teoretické vedomosti absolventa</w:t>
      </w:r>
    </w:p>
    <w:p>
      <w:pPr>
        <w:pStyle w:val="Footer"/>
        <w:numPr>
          <w:ilvl w:val="0"/>
          <w:numId w:val="10"/>
        </w:numPr>
        <w:tabs>
          <w:tab w:val="left" w:pos="1068" w:leader="none"/>
          <w:tab w:val="center" w:pos="4536" w:leader="none"/>
          <w:tab w:val="right" w:pos="9072" w:leader="none"/>
        </w:tabs>
        <w:overflowPunct w:val="false"/>
        <w:ind w:left="1068" w:right="0" w:hanging="360"/>
        <w:jc w:val="both"/>
        <w:rPr>
          <w:rFonts w:cs="Calibri"/>
          <w:sz w:val="16"/>
          <w:szCs w:val="16"/>
          <w:lang w:eastAsia="x-none"/>
        </w:rPr>
      </w:pPr>
      <w:r>
        <w:rPr>
          <w:rFonts w:cs="Calibri"/>
          <w:sz w:val="16"/>
          <w:szCs w:val="16"/>
          <w:lang w:eastAsia="x-none"/>
        </w:rPr>
        <w:t>nadobudne základné výtvarno-teoretické vedomosti: historické, teoretické, analytické,</w:t>
      </w:r>
    </w:p>
    <w:p>
      <w:pPr>
        <w:pStyle w:val="Footer"/>
        <w:numPr>
          <w:ilvl w:val="0"/>
          <w:numId w:val="10"/>
        </w:numPr>
        <w:tabs>
          <w:tab w:val="left" w:pos="1068" w:leader="none"/>
          <w:tab w:val="center" w:pos="4536" w:leader="none"/>
          <w:tab w:val="right" w:pos="9072" w:leader="none"/>
        </w:tabs>
        <w:overflowPunct w:val="false"/>
        <w:ind w:left="1068" w:right="0" w:hanging="360"/>
        <w:jc w:val="both"/>
        <w:rPr>
          <w:rFonts w:cs="Calibri"/>
          <w:sz w:val="16"/>
          <w:szCs w:val="16"/>
          <w:lang w:eastAsia="x-none"/>
        </w:rPr>
      </w:pPr>
      <w:r>
        <w:rPr>
          <w:rFonts w:cs="Calibri"/>
          <w:sz w:val="16"/>
          <w:szCs w:val="16"/>
          <w:lang w:eastAsia="x-none"/>
        </w:rPr>
        <w:t>orientuje sa v oblasti dejín výtvarného umenia, teórie výtvarného umenia, harmónie, výtvarných umeleckých foriem,  teórie  pedagogiky,</w:t>
      </w:r>
    </w:p>
    <w:p>
      <w:pPr>
        <w:pStyle w:val="Normal"/>
        <w:numPr>
          <w:ilvl w:val="0"/>
          <w:numId w:val="10"/>
        </w:numPr>
        <w:tabs>
          <w:tab w:val="clear" w:pos="708"/>
          <w:tab w:val="left" w:pos="1068" w:leader="none"/>
        </w:tabs>
        <w:suppressAutoHyphens w:val="true"/>
        <w:spacing w:lineRule="auto" w:line="240" w:before="0" w:after="0"/>
        <w:ind w:left="1068" w:right="0" w:hanging="360"/>
        <w:jc w:val="both"/>
        <w:rPr>
          <w:rFonts w:cs="Calibri"/>
          <w:sz w:val="16"/>
          <w:szCs w:val="16"/>
        </w:rPr>
      </w:pPr>
      <w:r>
        <w:rPr>
          <w:rFonts w:cs="Calibri"/>
          <w:sz w:val="16"/>
          <w:szCs w:val="16"/>
        </w:rPr>
        <w:t>pozná teoretické princípy tvorby, organizovania a plánovania edukačného procesu v sekundárnom vzdelávaní v školskom i mimoškolskom prostredí,</w:t>
      </w:r>
    </w:p>
    <w:p>
      <w:pPr>
        <w:pStyle w:val="Normal"/>
        <w:numPr>
          <w:ilvl w:val="0"/>
          <w:numId w:val="10"/>
        </w:numPr>
        <w:tabs>
          <w:tab w:val="clear" w:pos="708"/>
          <w:tab w:val="left" w:pos="1068" w:leader="none"/>
        </w:tabs>
        <w:suppressAutoHyphens w:val="true"/>
        <w:spacing w:lineRule="auto" w:line="240" w:before="0" w:after="0"/>
        <w:ind w:left="1068" w:right="0" w:hanging="360"/>
        <w:jc w:val="both"/>
        <w:rPr>
          <w:rFonts w:cs="Calibri"/>
          <w:sz w:val="16"/>
          <w:szCs w:val="16"/>
        </w:rPr>
      </w:pPr>
      <w:r>
        <w:rPr>
          <w:rFonts w:cs="Calibri"/>
          <w:sz w:val="16"/>
          <w:szCs w:val="16"/>
        </w:rPr>
        <w:t>dokáže sa orientovať v pedagogickej dokumentácii a školskej legislatíve,</w:t>
      </w:r>
    </w:p>
    <w:p>
      <w:pPr>
        <w:pStyle w:val="Normal"/>
        <w:numPr>
          <w:ilvl w:val="0"/>
          <w:numId w:val="10"/>
        </w:numPr>
        <w:tabs>
          <w:tab w:val="clear" w:pos="708"/>
          <w:tab w:val="left" w:pos="1068" w:leader="none"/>
        </w:tabs>
        <w:spacing w:lineRule="auto" w:line="240" w:before="0" w:after="0"/>
        <w:ind w:left="1068" w:right="0" w:hanging="360"/>
        <w:jc w:val="both"/>
        <w:rPr>
          <w:rFonts w:cs="Calibri"/>
          <w:sz w:val="16"/>
          <w:szCs w:val="16"/>
        </w:rPr>
      </w:pPr>
      <w:r>
        <w:rPr>
          <w:rFonts w:cs="Calibri"/>
          <w:sz w:val="16"/>
          <w:szCs w:val="16"/>
        </w:rPr>
        <w:t>ovláda základné historicko-teoretické aspekty edukácie výtvarného umenia.</w:t>
      </w:r>
    </w:p>
    <w:p>
      <w:pPr>
        <w:pStyle w:val="Footer"/>
        <w:tabs>
          <w:tab w:val="left" w:pos="708" w:leader="none"/>
          <w:tab w:val="center" w:pos="4536" w:leader="none"/>
          <w:tab w:val="right" w:pos="9072" w:leader="none"/>
        </w:tabs>
        <w:jc w:val="both"/>
        <w:rPr>
          <w:i/>
          <w:i/>
          <w:sz w:val="16"/>
          <w:szCs w:val="16"/>
        </w:rPr>
      </w:pPr>
      <w:r>
        <w:rPr>
          <w:i/>
          <w:sz w:val="16"/>
          <w:szCs w:val="16"/>
        </w:rPr>
      </w:r>
    </w:p>
    <w:p>
      <w:pPr>
        <w:pStyle w:val="Footer"/>
        <w:tabs>
          <w:tab w:val="left" w:pos="708" w:leader="none"/>
          <w:tab w:val="center" w:pos="4536" w:leader="none"/>
          <w:tab w:val="right" w:pos="9072" w:leader="none"/>
        </w:tabs>
        <w:ind w:left="360" w:right="0" w:hanging="0"/>
        <w:rPr>
          <w:b/>
          <w:b/>
          <w:i/>
          <w:i/>
          <w:sz w:val="16"/>
          <w:szCs w:val="16"/>
        </w:rPr>
      </w:pPr>
      <w:r>
        <w:rPr>
          <w:b/>
          <w:i/>
          <w:sz w:val="16"/>
          <w:szCs w:val="16"/>
        </w:rPr>
        <w:t>Praktické zručnosti a schopnosti absolventa:</w:t>
      </w:r>
    </w:p>
    <w:p>
      <w:pPr>
        <w:pStyle w:val="ListParagraph"/>
        <w:numPr>
          <w:ilvl w:val="0"/>
          <w:numId w:val="10"/>
        </w:numPr>
        <w:tabs>
          <w:tab w:val="clear" w:pos="708"/>
          <w:tab w:val="left" w:pos="1068" w:leader="none"/>
        </w:tabs>
        <w:spacing w:lineRule="auto" w:line="240" w:before="0" w:after="0"/>
        <w:ind w:left="1068" w:right="0" w:hanging="360"/>
        <w:contextualSpacing/>
        <w:jc w:val="both"/>
        <w:rPr/>
      </w:pPr>
      <w:r>
        <w:rPr>
          <w:rFonts w:cs="Calibri"/>
          <w:sz w:val="16"/>
          <w:szCs w:val="16"/>
        </w:rPr>
        <w:t xml:space="preserve">disponuje praktickými </w:t>
      </w:r>
      <w:r>
        <w:rPr>
          <w:rFonts w:cs="Calibri"/>
          <w:sz w:val="16"/>
          <w:szCs w:val="16"/>
          <w:lang w:eastAsia="x-none"/>
        </w:rPr>
        <w:t>zručnosťami a spôsobilosťami – vie kresliť, maľovať, modelovať na úrovni vymedzenej požiadavkami praktickej štátnej záverečnej  skúšky a tvorivo s nimi pracuje,</w:t>
      </w:r>
    </w:p>
    <w:p>
      <w:pPr>
        <w:pStyle w:val="ListParagraph"/>
        <w:numPr>
          <w:ilvl w:val="0"/>
          <w:numId w:val="10"/>
        </w:numPr>
        <w:tabs>
          <w:tab w:val="clear" w:pos="708"/>
          <w:tab w:val="left" w:pos="1068" w:leader="none"/>
        </w:tabs>
        <w:spacing w:lineRule="auto" w:line="240" w:before="0" w:after="0"/>
        <w:ind w:left="1068" w:right="0" w:hanging="360"/>
        <w:contextualSpacing/>
        <w:jc w:val="both"/>
        <w:rPr>
          <w:rFonts w:cs="Calibri"/>
          <w:sz w:val="16"/>
          <w:szCs w:val="16"/>
          <w:lang w:eastAsia="x-none"/>
        </w:rPr>
      </w:pPr>
      <w:r>
        <w:rPr>
          <w:rFonts w:cs="Calibri"/>
          <w:sz w:val="16"/>
          <w:szCs w:val="16"/>
          <w:lang w:eastAsia="x-none"/>
        </w:rPr>
        <w:t xml:space="preserve">vie pracovať a umelecky viesť: tvorivé skupiny, záujmové krúžky, </w:t>
      </w:r>
    </w:p>
    <w:p>
      <w:pPr>
        <w:pStyle w:val="Footer"/>
        <w:numPr>
          <w:ilvl w:val="0"/>
          <w:numId w:val="10"/>
        </w:numPr>
        <w:tabs>
          <w:tab w:val="left" w:pos="1068" w:leader="none"/>
          <w:tab w:val="center" w:pos="4536" w:leader="none"/>
          <w:tab w:val="right" w:pos="9072" w:leader="none"/>
        </w:tabs>
        <w:overflowPunct w:val="false"/>
        <w:ind w:left="1068" w:right="0" w:hanging="360"/>
        <w:jc w:val="both"/>
        <w:rPr>
          <w:rFonts w:cs="Calibri"/>
          <w:sz w:val="16"/>
          <w:szCs w:val="16"/>
          <w:lang w:eastAsia="x-none"/>
        </w:rPr>
      </w:pPr>
      <w:r>
        <w:rPr>
          <w:rFonts w:cs="Calibri"/>
          <w:sz w:val="16"/>
          <w:szCs w:val="16"/>
          <w:lang w:eastAsia="x-none"/>
        </w:rPr>
        <w:t>ovláda praktické zručnosti a metodické postupy vyplývajúce z požiadaviek centier voľného času, kultúrnych inštitúcií,</w:t>
      </w:r>
    </w:p>
    <w:p>
      <w:pPr>
        <w:pStyle w:val="Footer"/>
        <w:numPr>
          <w:ilvl w:val="0"/>
          <w:numId w:val="10"/>
        </w:numPr>
        <w:tabs>
          <w:tab w:val="left" w:pos="1068" w:leader="none"/>
          <w:tab w:val="center" w:pos="4536" w:leader="none"/>
          <w:tab w:val="right" w:pos="9072" w:leader="none"/>
        </w:tabs>
        <w:overflowPunct w:val="false"/>
        <w:ind w:left="1068" w:right="0" w:hanging="360"/>
        <w:jc w:val="both"/>
        <w:rPr>
          <w:rFonts w:cs="Calibri"/>
          <w:sz w:val="16"/>
          <w:szCs w:val="16"/>
          <w:lang w:eastAsia="x-none"/>
        </w:rPr>
      </w:pPr>
      <w:r>
        <w:rPr>
          <w:rFonts w:cs="Calibri"/>
          <w:sz w:val="16"/>
          <w:szCs w:val="16"/>
          <w:lang w:eastAsia="x-none"/>
        </w:rPr>
        <w:t xml:space="preserve">vie kreatívne formovať vlastnú riadiacu činnosť v tvorivom výtvarnom procese a implementuje nové poznatky do procesu záujmovej výtvarnej činnosti s dôrazom na výchovu vzťahu k výtvarnému umeniu a celkovému estetickému vnímaniu, </w:t>
      </w:r>
    </w:p>
    <w:p>
      <w:pPr>
        <w:pStyle w:val="Normal"/>
        <w:numPr>
          <w:ilvl w:val="0"/>
          <w:numId w:val="10"/>
        </w:numPr>
        <w:tabs>
          <w:tab w:val="clear" w:pos="708"/>
          <w:tab w:val="left" w:pos="1068" w:leader="none"/>
        </w:tabs>
        <w:spacing w:lineRule="auto" w:line="240" w:before="0" w:after="0"/>
        <w:ind w:left="1068" w:right="0" w:hanging="360"/>
        <w:jc w:val="both"/>
        <w:rPr>
          <w:rFonts w:cs="Calibri"/>
          <w:sz w:val="16"/>
          <w:szCs w:val="16"/>
        </w:rPr>
      </w:pPr>
      <w:r>
        <w:rPr>
          <w:rFonts w:cs="Calibri"/>
          <w:sz w:val="16"/>
          <w:szCs w:val="16"/>
        </w:rPr>
        <w:t xml:space="preserve">aplikuje výtvarno-pedagogické, výtvarno-teoretické disciplíny a teoretické východiská výtvarnej umeleckej pedagogiky do praktických zručností a spôsobilostí, </w:t>
      </w:r>
    </w:p>
    <w:p>
      <w:pPr>
        <w:pStyle w:val="Normal"/>
        <w:numPr>
          <w:ilvl w:val="0"/>
          <w:numId w:val="10"/>
        </w:numPr>
        <w:tabs>
          <w:tab w:val="clear" w:pos="708"/>
          <w:tab w:val="left" w:pos="1068" w:leader="none"/>
        </w:tabs>
        <w:spacing w:lineRule="auto" w:line="240" w:before="0" w:after="0"/>
        <w:ind w:left="1068" w:right="0" w:hanging="360"/>
        <w:jc w:val="both"/>
        <w:rPr>
          <w:rFonts w:cs="Calibri"/>
          <w:sz w:val="16"/>
          <w:szCs w:val="16"/>
        </w:rPr>
      </w:pPr>
      <w:r>
        <w:rPr>
          <w:rFonts w:cs="Calibri"/>
          <w:sz w:val="16"/>
          <w:szCs w:val="16"/>
        </w:rPr>
        <w:t>vie aplikovať teoretické poznatky štýlových období dejín výtvarného umenia a ich hlavných znakov spolu s kultúrno-historickým kontextom do interpretácie formou kresby, maľby, modelovania</w:t>
      </w:r>
    </w:p>
    <w:p>
      <w:pPr>
        <w:pStyle w:val="Normal"/>
        <w:numPr>
          <w:ilvl w:val="0"/>
          <w:numId w:val="10"/>
        </w:numPr>
        <w:tabs>
          <w:tab w:val="clear" w:pos="708"/>
          <w:tab w:val="left" w:pos="1068" w:leader="none"/>
        </w:tabs>
        <w:suppressAutoHyphens w:val="true"/>
        <w:spacing w:lineRule="auto" w:line="240" w:before="0" w:after="0"/>
        <w:ind w:left="1068" w:right="0" w:hanging="360"/>
        <w:rPr>
          <w:rFonts w:cs="Calibri"/>
          <w:sz w:val="16"/>
          <w:szCs w:val="16"/>
        </w:rPr>
      </w:pPr>
      <w:r>
        <w:rPr>
          <w:rFonts w:cs="Calibri"/>
          <w:sz w:val="16"/>
          <w:szCs w:val="16"/>
        </w:rPr>
        <w:t>vie aktívne používať digitálne technológie vo výtvarno-edukačnom procese.</w:t>
      </w:r>
    </w:p>
    <w:p>
      <w:pPr>
        <w:pStyle w:val="Footer"/>
        <w:tabs>
          <w:tab w:val="left" w:pos="708" w:leader="none"/>
          <w:tab w:val="center" w:pos="4536" w:leader="none"/>
          <w:tab w:val="right" w:pos="9072" w:leader="none"/>
        </w:tabs>
        <w:ind w:left="360" w:right="0" w:hanging="0"/>
        <w:jc w:val="both"/>
        <w:rPr>
          <w:b/>
          <w:b/>
          <w:i/>
          <w:i/>
          <w:sz w:val="16"/>
          <w:szCs w:val="16"/>
        </w:rPr>
      </w:pPr>
      <w:r>
        <w:rPr>
          <w:b/>
          <w:i/>
          <w:sz w:val="16"/>
          <w:szCs w:val="16"/>
        </w:rPr>
        <w:t>Doplňujúce vedomosti, schopnosti a zručnosti absolventa:</w:t>
      </w:r>
    </w:p>
    <w:p>
      <w:pPr>
        <w:pStyle w:val="Footer"/>
        <w:numPr>
          <w:ilvl w:val="0"/>
          <w:numId w:val="11"/>
        </w:numPr>
        <w:tabs>
          <w:tab w:val="left" w:pos="708" w:leader="none"/>
          <w:tab w:val="center" w:pos="4536" w:leader="none"/>
          <w:tab w:val="right" w:pos="9072" w:leader="none"/>
        </w:tabs>
        <w:overflowPunct w:val="false"/>
        <w:jc w:val="both"/>
        <w:rPr>
          <w:rFonts w:cs="Calibri"/>
          <w:iCs/>
          <w:sz w:val="16"/>
          <w:szCs w:val="16"/>
          <w:lang w:eastAsia="x-none"/>
        </w:rPr>
      </w:pPr>
      <w:r>
        <w:rPr>
          <w:rFonts w:cs="Calibri"/>
          <w:iCs/>
          <w:sz w:val="16"/>
          <w:szCs w:val="16"/>
          <w:lang w:eastAsia="x-none"/>
        </w:rPr>
        <w:t>vie pracovať s modernou didaktickou technikou, informačno-komunikačnými technológiami,</w:t>
      </w:r>
    </w:p>
    <w:p>
      <w:pPr>
        <w:pStyle w:val="Footer"/>
        <w:numPr>
          <w:ilvl w:val="0"/>
          <w:numId w:val="11"/>
        </w:numPr>
        <w:tabs>
          <w:tab w:val="left" w:pos="708" w:leader="none"/>
          <w:tab w:val="center" w:pos="4536" w:leader="none"/>
          <w:tab w:val="right" w:pos="9072" w:leader="none"/>
        </w:tabs>
        <w:overflowPunct w:val="false"/>
        <w:jc w:val="both"/>
        <w:rPr>
          <w:rFonts w:cs="Calibri"/>
          <w:iCs/>
          <w:sz w:val="16"/>
          <w:szCs w:val="16"/>
          <w:lang w:eastAsia="x-none"/>
        </w:rPr>
      </w:pPr>
      <w:r>
        <w:rPr>
          <w:rFonts w:cs="Calibri"/>
          <w:iCs/>
          <w:sz w:val="16"/>
          <w:szCs w:val="16"/>
          <w:lang w:eastAsia="x-none"/>
        </w:rPr>
        <w:t>efektívne ovláda verbálnu a neverbálnu vizuálnu komunikáciu,</w:t>
      </w:r>
    </w:p>
    <w:p>
      <w:pPr>
        <w:pStyle w:val="Footer"/>
        <w:numPr>
          <w:ilvl w:val="0"/>
          <w:numId w:val="11"/>
        </w:numPr>
        <w:tabs>
          <w:tab w:val="left" w:pos="708" w:leader="none"/>
          <w:tab w:val="center" w:pos="4536" w:leader="none"/>
          <w:tab w:val="right" w:pos="9072" w:leader="none"/>
        </w:tabs>
        <w:overflowPunct w:val="false"/>
        <w:jc w:val="both"/>
        <w:rPr>
          <w:rFonts w:cs="Calibri"/>
          <w:iCs/>
          <w:sz w:val="16"/>
          <w:szCs w:val="16"/>
          <w:lang w:eastAsia="x-none"/>
        </w:rPr>
      </w:pPr>
      <w:r>
        <w:rPr>
          <w:rFonts w:cs="Calibri"/>
          <w:iCs/>
          <w:sz w:val="16"/>
          <w:szCs w:val="16"/>
          <w:lang w:eastAsia="x-none"/>
        </w:rPr>
        <w:t>osvojené vedomosti, zručnosti a schopnosti vie prezentovať vo výtvarnej, vizuálnej kultúre,</w:t>
      </w:r>
    </w:p>
    <w:p>
      <w:pPr>
        <w:pStyle w:val="ListParagraph"/>
        <w:numPr>
          <w:ilvl w:val="0"/>
          <w:numId w:val="11"/>
        </w:numPr>
        <w:spacing w:lineRule="auto" w:line="240" w:before="0" w:after="0"/>
        <w:ind w:left="1068" w:right="0" w:hanging="360"/>
        <w:contextualSpacing/>
        <w:jc w:val="both"/>
        <w:rPr>
          <w:rFonts w:cs="Calibri"/>
          <w:iCs/>
          <w:sz w:val="16"/>
          <w:szCs w:val="16"/>
          <w:lang w:eastAsia="x-none"/>
        </w:rPr>
      </w:pPr>
      <w:r>
        <w:rPr>
          <w:rFonts w:cs="Calibri"/>
          <w:iCs/>
          <w:sz w:val="16"/>
          <w:szCs w:val="16"/>
          <w:lang w:eastAsia="x-none"/>
        </w:rPr>
        <w:t>vie sa hodnotovo orientovať vo výtvarnej umeleckej tvorbe a kultúre, má prehľad v domácej odbornej knižnej a časopiseckej literatúre.</w:t>
      </w:r>
    </w:p>
    <w:p>
      <w:pPr>
        <w:pStyle w:val="ListParagraph"/>
        <w:spacing w:lineRule="auto" w:line="240" w:before="0" w:after="0"/>
        <w:ind w:left="12" w:right="0" w:hanging="0"/>
        <w:contextualSpacing/>
        <w:jc w:val="both"/>
        <w:rPr>
          <w:rFonts w:cs="Calibri"/>
          <w:color w:val="000000"/>
          <w:sz w:val="16"/>
          <w:szCs w:val="16"/>
        </w:rPr>
      </w:pPr>
      <w:r>
        <w:rPr>
          <w:rFonts w:cs="Calibri"/>
          <w:color w:val="000000"/>
          <w:sz w:val="16"/>
          <w:szCs w:val="16"/>
        </w:rPr>
        <w:t xml:space="preserve"> </w:t>
      </w:r>
      <w:r>
        <w:rPr>
          <w:rFonts w:cs="Calibri"/>
          <w:color w:val="000000"/>
          <w:sz w:val="16"/>
          <w:szCs w:val="16"/>
        </w:rPr>
        <w:t>b) Vysoká škola indikuje povolania, na výkon ktorých je absolvent v čase absolvovania štúdia pripravený a potenciál študijného programu z pohľadu uplatnenia absolventov.</w:t>
      </w:r>
    </w:p>
    <w:p>
      <w:pPr>
        <w:pStyle w:val="Footer"/>
        <w:tabs>
          <w:tab w:val="left" w:pos="708" w:leader="none"/>
          <w:tab w:val="center" w:pos="4536" w:leader="none"/>
          <w:tab w:val="right" w:pos="9072" w:leader="none"/>
        </w:tabs>
        <w:ind w:left="12" w:right="0" w:hanging="0"/>
        <w:jc w:val="both"/>
        <w:rPr/>
      </w:pPr>
      <w:r>
        <w:rPr>
          <w:rFonts w:cs="Calibri"/>
          <w:color w:val="000000"/>
          <w:sz w:val="16"/>
          <w:szCs w:val="16"/>
        </w:rPr>
        <w:t xml:space="preserve">          </w:t>
      </w:r>
      <w:r>
        <w:rPr>
          <w:b/>
          <w:i/>
          <w:sz w:val="16"/>
          <w:szCs w:val="16"/>
          <w:lang w:eastAsia="x-none"/>
        </w:rPr>
        <w:t xml:space="preserve">Vymedzenie oblastí uplatnenia absolventa: </w:t>
      </w:r>
    </w:p>
    <w:p>
      <w:pPr>
        <w:pStyle w:val="Footer"/>
        <w:numPr>
          <w:ilvl w:val="0"/>
          <w:numId w:val="8"/>
        </w:numPr>
        <w:tabs>
          <w:tab w:val="left" w:pos="708" w:leader="none"/>
          <w:tab w:val="center" w:pos="4536" w:leader="none"/>
          <w:tab w:val="right" w:pos="9072" w:leader="none"/>
        </w:tabs>
        <w:ind w:left="1068" w:right="0" w:hanging="360"/>
        <w:jc w:val="both"/>
        <w:rPr>
          <w:rFonts w:cs="Calibri"/>
          <w:sz w:val="16"/>
          <w:szCs w:val="16"/>
          <w:lang w:eastAsia="x-none"/>
        </w:rPr>
      </w:pPr>
      <w:r>
        <w:rPr>
          <w:rFonts w:cs="Calibri"/>
          <w:sz w:val="16"/>
          <w:szCs w:val="16"/>
          <w:lang w:eastAsia="x-none"/>
        </w:rPr>
        <w:t>lektor voľného času výtvarných aktivít v centrách voľného času, v domoch kultúry,</w:t>
      </w:r>
    </w:p>
    <w:p>
      <w:pPr>
        <w:pStyle w:val="Footer"/>
        <w:numPr>
          <w:ilvl w:val="0"/>
          <w:numId w:val="7"/>
        </w:numPr>
        <w:tabs>
          <w:tab w:val="left" w:pos="708" w:leader="none"/>
          <w:tab w:val="center" w:pos="4536" w:leader="none"/>
          <w:tab w:val="right" w:pos="9072" w:leader="none"/>
        </w:tabs>
        <w:overflowPunct w:val="false"/>
        <w:ind w:left="1068" w:right="0" w:hanging="360"/>
        <w:jc w:val="both"/>
        <w:rPr>
          <w:rFonts w:cs="Calibri"/>
          <w:sz w:val="16"/>
          <w:szCs w:val="16"/>
          <w:lang w:eastAsia="x-none"/>
        </w:rPr>
      </w:pPr>
      <w:r>
        <w:rPr>
          <w:rFonts w:cs="Calibri"/>
          <w:sz w:val="16"/>
          <w:szCs w:val="16"/>
          <w:lang w:eastAsia="x-none"/>
        </w:rPr>
        <w:t xml:space="preserve">odborný pracovník štátnej a verejnej správy pre oblasť výtvarnej kultúry, </w:t>
      </w:r>
    </w:p>
    <w:p>
      <w:pPr>
        <w:pStyle w:val="Footer"/>
        <w:numPr>
          <w:ilvl w:val="0"/>
          <w:numId w:val="7"/>
        </w:numPr>
        <w:tabs>
          <w:tab w:val="left" w:pos="708" w:leader="none"/>
          <w:tab w:val="center" w:pos="4536" w:leader="none"/>
          <w:tab w:val="right" w:pos="9072" w:leader="none"/>
        </w:tabs>
        <w:overflowPunct w:val="false"/>
        <w:ind w:left="1068" w:right="0" w:hanging="360"/>
        <w:jc w:val="both"/>
        <w:rPr>
          <w:rFonts w:cs="Calibri"/>
          <w:sz w:val="16"/>
          <w:szCs w:val="16"/>
          <w:lang w:eastAsia="x-none"/>
        </w:rPr>
      </w:pPr>
      <w:r>
        <w:rPr>
          <w:rFonts w:cs="Calibri"/>
          <w:sz w:val="16"/>
          <w:szCs w:val="16"/>
          <w:lang w:eastAsia="x-none"/>
        </w:rPr>
        <w:t>výtvarný pedagóg v mimoškolských tvorivých skupinách,</w:t>
      </w:r>
    </w:p>
    <w:p>
      <w:pPr>
        <w:pStyle w:val="Footer"/>
        <w:numPr>
          <w:ilvl w:val="0"/>
          <w:numId w:val="7"/>
        </w:numPr>
        <w:tabs>
          <w:tab w:val="left" w:pos="708" w:leader="none"/>
          <w:tab w:val="center" w:pos="4536" w:leader="none"/>
          <w:tab w:val="right" w:pos="9072" w:leader="none"/>
        </w:tabs>
        <w:overflowPunct w:val="false"/>
        <w:ind w:left="1068" w:right="0" w:hanging="360"/>
        <w:jc w:val="both"/>
        <w:rPr>
          <w:rFonts w:cs="Calibri"/>
          <w:sz w:val="16"/>
          <w:szCs w:val="16"/>
          <w:lang w:eastAsia="x-none"/>
        </w:rPr>
      </w:pPr>
      <w:r>
        <w:rPr>
          <w:rFonts w:cs="Calibri"/>
          <w:sz w:val="16"/>
          <w:szCs w:val="16"/>
          <w:lang w:eastAsia="x-none"/>
        </w:rPr>
        <w:t>pracovník v kreatívnom priemysle.</w:t>
      </w:r>
    </w:p>
    <w:p>
      <w:pPr>
        <w:pStyle w:val="Normal"/>
        <w:spacing w:lineRule="auto" w:line="240" w:before="0" w:after="0"/>
        <w:jc w:val="both"/>
        <w:rPr/>
      </w:pPr>
      <w:r>
        <w:rPr>
          <w:rFonts w:cs="Calibri"/>
          <w:color w:val="000000"/>
          <w:sz w:val="16"/>
          <w:szCs w:val="16"/>
        </w:rPr>
        <w:t xml:space="preserve">  </w:t>
      </w:r>
      <w:r>
        <w:rPr>
          <w:rFonts w:cs="Calibri"/>
          <w:color w:val="000000"/>
          <w:sz w:val="16"/>
          <w:szCs w:val="16"/>
        </w:rPr>
        <w:t>c)  Relevantné externé zainteresované strany, ktoré poskytli vyjadrenie alebo súhlasné stanovisko k súladu získanej kvalifikácie so sektorovo špecifickými požiadavkami na výkon povolania</w:t>
      </w:r>
      <w:r>
        <w:rPr>
          <w:rStyle w:val="FootnoteAnchor"/>
          <w:rFonts w:cs="Calibri"/>
          <w:bCs/>
          <w:szCs w:val="16"/>
        </w:rPr>
        <w:footnoteReference w:id="8"/>
      </w:r>
      <w:r>
        <w:rPr>
          <w:rFonts w:cs="Calibri"/>
          <w:color w:val="000000"/>
          <w:sz w:val="16"/>
          <w:szCs w:val="16"/>
        </w:rPr>
        <w:t xml:space="preserve">. </w:t>
      </w:r>
    </w:p>
    <w:p>
      <w:pPr>
        <w:pStyle w:val="Normal"/>
        <w:ind w:left="709" w:right="0" w:hanging="0"/>
        <w:rPr/>
      </w:pPr>
      <w:r>
        <w:rPr>
          <w:rFonts w:cs="Calibri"/>
          <w:color w:val="000000"/>
          <w:sz w:val="16"/>
          <w:szCs w:val="16"/>
        </w:rPr>
        <w:t xml:space="preserve"> </w:t>
      </w:r>
      <w:r>
        <w:rPr>
          <w:rFonts w:eastAsia="Calibri" w:cs="Calibri"/>
          <w:i/>
          <w:iCs/>
          <w:color w:val="000000"/>
          <w:sz w:val="16"/>
          <w:szCs w:val="16"/>
        </w:rPr>
        <w:t>Nejedná sa o regulované povolanie.</w:t>
      </w:r>
    </w:p>
    <w:p>
      <w:pPr>
        <w:pStyle w:val="ListParagraph"/>
        <w:numPr>
          <w:ilvl w:val="0"/>
          <w:numId w:val="1"/>
        </w:numPr>
        <w:spacing w:lineRule="auto" w:line="240" w:before="0" w:after="0"/>
        <w:ind w:left="360" w:right="0" w:hanging="360"/>
        <w:contextualSpacing/>
        <w:jc w:val="both"/>
        <w:rPr>
          <w:rFonts w:cs="Calibri"/>
          <w:b/>
          <w:b/>
          <w:bCs/>
          <w:color w:val="000000"/>
          <w:sz w:val="16"/>
          <w:szCs w:val="16"/>
        </w:rPr>
      </w:pPr>
      <w:r>
        <w:rPr>
          <w:rFonts w:cs="Calibri"/>
          <w:b/>
          <w:bCs/>
          <w:color w:val="000000"/>
          <w:sz w:val="16"/>
          <w:szCs w:val="16"/>
        </w:rPr>
        <w:t xml:space="preserve">Uplatniteľnosť </w:t>
      </w:r>
    </w:p>
    <w:p>
      <w:pPr>
        <w:pStyle w:val="ListParagraph"/>
        <w:numPr>
          <w:ilvl w:val="0"/>
          <w:numId w:val="5"/>
        </w:numPr>
        <w:spacing w:lineRule="auto" w:line="240" w:before="0" w:after="0"/>
        <w:ind w:left="360" w:right="0" w:hanging="360"/>
        <w:contextualSpacing/>
        <w:jc w:val="both"/>
        <w:rPr>
          <w:rFonts w:cs="Calibri"/>
          <w:color w:val="000000"/>
          <w:sz w:val="16"/>
          <w:szCs w:val="16"/>
        </w:rPr>
      </w:pPr>
      <w:r>
        <w:rPr>
          <w:rFonts w:cs="Calibri"/>
          <w:color w:val="000000"/>
          <w:sz w:val="16"/>
          <w:szCs w:val="16"/>
        </w:rPr>
        <w:t xml:space="preserve">Hodnotenie uplatniteľnosti absolventov študijného programu. </w:t>
      </w:r>
    </w:p>
    <w:p>
      <w:pPr>
        <w:pStyle w:val="Normal"/>
        <w:ind w:left="709" w:right="0" w:hanging="0"/>
        <w:rPr/>
      </w:pPr>
      <w:r>
        <w:rPr>
          <w:rFonts w:cs="Calibri"/>
          <w:color w:val="000000"/>
          <w:sz w:val="16"/>
          <w:szCs w:val="16"/>
        </w:rPr>
        <w:t xml:space="preserve"> </w:t>
      </w:r>
      <w:r>
        <w:rPr>
          <w:rFonts w:eastAsia="Calibri" w:cs="Calibri"/>
          <w:i/>
          <w:iCs/>
          <w:color w:val="000000"/>
          <w:sz w:val="16"/>
          <w:szCs w:val="16"/>
        </w:rPr>
        <w:t xml:space="preserve">O možnostiach uplatnenia absolventov informuje predošlý bod 2, ods. b). Štatistické prehľady o uplatniteľnosti a zamestnanosti absolventov sú dostupné z: </w:t>
      </w:r>
      <w:hyperlink r:id="rId2">
        <w:r>
          <w:rPr>
            <w:rStyle w:val="InternetLink"/>
            <w:rFonts w:eastAsia="Calibri" w:cs="Calibri"/>
            <w:i/>
            <w:iCs/>
            <w:color w:val="000000"/>
            <w:sz w:val="16"/>
            <w:szCs w:val="16"/>
          </w:rPr>
          <w:t>https://uplatnenie.sk/</w:t>
        </w:r>
      </w:hyperlink>
      <w:r>
        <w:rPr>
          <w:rFonts w:eastAsia="Calibri" w:cs="Calibri"/>
          <w:i/>
          <w:iCs/>
          <w:color w:val="000000"/>
          <w:sz w:val="16"/>
          <w:szCs w:val="16"/>
          <w:u w:val="single"/>
        </w:rPr>
        <w:t xml:space="preserve"> alebo </w:t>
      </w:r>
      <w:hyperlink r:id="rId3">
        <w:r>
          <w:rPr>
            <w:rStyle w:val="InternetLink"/>
            <w:rFonts w:eastAsia="Calibri" w:cs="Calibri"/>
            <w:i/>
            <w:iCs/>
            <w:color w:val="000000"/>
            <w:sz w:val="16"/>
            <w:szCs w:val="16"/>
          </w:rPr>
          <w:t>https://uplatnenie.sk/?degree=V%C5%A0&amp;vs=717000000&amp;faculty=717050000&amp;field=7898T00&amp;year=2018</w:t>
        </w:r>
      </w:hyperlink>
    </w:p>
    <w:p>
      <w:pPr>
        <w:pStyle w:val="Normal"/>
        <w:ind w:left="709" w:right="0" w:hanging="0"/>
        <w:rPr>
          <w:rFonts w:eastAsia="Calibri" w:cs="Calibri"/>
          <w:i/>
          <w:i/>
          <w:iCs/>
          <w:color w:val="000000"/>
          <w:sz w:val="16"/>
          <w:szCs w:val="16"/>
        </w:rPr>
      </w:pPr>
      <w:r>
        <w:rPr>
          <w:rFonts w:eastAsia="Calibri" w:cs="Calibri"/>
          <w:i/>
          <w:iCs/>
          <w:color w:val="000000"/>
          <w:sz w:val="16"/>
          <w:szCs w:val="16"/>
        </w:rPr>
        <w:t>Podľa vyššie uvedeného webu, ktorý spravuje Ministerstvo práce, sociálnych vecí a rodiny SR, 91% absolventov roku 2019 bolo zamestnaných v odbore, pričom  91% pracuje v odbore.</w:t>
      </w:r>
    </w:p>
    <w:p>
      <w:pPr>
        <w:pStyle w:val="ListParagraph"/>
        <w:numPr>
          <w:ilvl w:val="0"/>
          <w:numId w:val="5"/>
        </w:numPr>
        <w:spacing w:lineRule="auto" w:line="240" w:before="0" w:after="0"/>
        <w:ind w:left="360" w:right="0" w:hanging="360"/>
        <w:contextualSpacing/>
        <w:jc w:val="both"/>
        <w:rPr>
          <w:rFonts w:cs="Calibri"/>
          <w:color w:val="000000"/>
          <w:sz w:val="16"/>
          <w:szCs w:val="16"/>
        </w:rPr>
      </w:pPr>
      <w:r>
        <w:rPr>
          <w:rFonts w:cs="Calibri"/>
          <w:color w:val="000000"/>
          <w:sz w:val="16"/>
          <w:szCs w:val="16"/>
        </w:rPr>
        <w:t>Prípadne uviesť úspešných absolventov študijného programu.</w:t>
      </w:r>
    </w:p>
    <w:p>
      <w:pPr>
        <w:pStyle w:val="ListParagraph"/>
        <w:ind w:left="360" w:right="0" w:hanging="0"/>
        <w:rPr>
          <w:sz w:val="16"/>
          <w:szCs w:val="16"/>
        </w:rPr>
      </w:pPr>
      <w:r>
        <w:rPr>
          <w:sz w:val="16"/>
          <w:szCs w:val="16"/>
        </w:rPr>
        <w:t xml:space="preserve"> </w:t>
      </w:r>
      <w:r>
        <w:rPr>
          <w:sz w:val="16"/>
          <w:szCs w:val="16"/>
        </w:rPr>
        <w:t>Mgr. art Martin Moflár – pedagóg Fakulty umení KVUal / TU v Košiciach</w:t>
      </w:r>
    </w:p>
    <w:p>
      <w:pPr>
        <w:pStyle w:val="ListParagraph"/>
        <w:ind w:left="360" w:right="0" w:hanging="0"/>
        <w:rPr>
          <w:sz w:val="16"/>
          <w:szCs w:val="16"/>
        </w:rPr>
      </w:pPr>
      <w:r>
        <w:rPr>
          <w:sz w:val="16"/>
          <w:szCs w:val="16"/>
        </w:rPr>
        <w:t xml:space="preserve"> </w:t>
      </w:r>
      <w:r>
        <w:rPr>
          <w:sz w:val="16"/>
          <w:szCs w:val="16"/>
        </w:rPr>
        <w:t>Doc. Mgr. art Ľuboslav Paľo – vedúci ateliéru Katedry grafiky a iných médií VŠVU Bratislava</w:t>
      </w:r>
    </w:p>
    <w:p>
      <w:pPr>
        <w:pStyle w:val="ListParagraph"/>
        <w:ind w:left="360" w:right="0" w:hanging="0"/>
        <w:rPr>
          <w:sz w:val="16"/>
          <w:szCs w:val="16"/>
        </w:rPr>
      </w:pPr>
      <w:r>
        <w:rPr>
          <w:sz w:val="16"/>
          <w:szCs w:val="16"/>
        </w:rPr>
        <w:t xml:space="preserve"> </w:t>
      </w:r>
      <w:r>
        <w:rPr>
          <w:sz w:val="16"/>
          <w:szCs w:val="16"/>
        </w:rPr>
        <w:t>PaedDr. Ľubomír Repaský – pedagóg, zástupca ZUŠ Levoča</w:t>
      </w:r>
    </w:p>
    <w:p>
      <w:pPr>
        <w:pStyle w:val="ListParagraph"/>
        <w:ind w:left="360" w:right="0" w:hanging="0"/>
        <w:rPr>
          <w:sz w:val="16"/>
          <w:szCs w:val="16"/>
        </w:rPr>
      </w:pPr>
      <w:r>
        <w:rPr>
          <w:sz w:val="16"/>
          <w:szCs w:val="16"/>
        </w:rPr>
        <w:t xml:space="preserve"> </w:t>
      </w:r>
      <w:r>
        <w:rPr>
          <w:sz w:val="16"/>
          <w:szCs w:val="16"/>
        </w:rPr>
        <w:t>PhDr. Janette Langová – riaditeľka galérie Caraffka Prešov</w:t>
      </w:r>
    </w:p>
    <w:p>
      <w:pPr>
        <w:pStyle w:val="ListParagraph"/>
        <w:ind w:left="360" w:right="0" w:hanging="0"/>
        <w:rPr>
          <w:sz w:val="16"/>
          <w:szCs w:val="16"/>
        </w:rPr>
      </w:pPr>
      <w:r>
        <w:rPr>
          <w:sz w:val="16"/>
          <w:szCs w:val="16"/>
        </w:rPr>
        <w:t xml:space="preserve"> </w:t>
      </w:r>
      <w:r>
        <w:rPr>
          <w:sz w:val="16"/>
          <w:szCs w:val="16"/>
        </w:rPr>
        <w:t>Mgr. Linda Pločicová – riaditeľka ŠUP Prešov</w:t>
      </w:r>
    </w:p>
    <w:p>
      <w:pPr>
        <w:pStyle w:val="ListParagraph"/>
        <w:ind w:left="360" w:right="0" w:hanging="0"/>
        <w:rPr>
          <w:sz w:val="18"/>
          <w:szCs w:val="18"/>
        </w:rPr>
      </w:pPr>
      <w:r>
        <w:rPr>
          <w:sz w:val="18"/>
          <w:szCs w:val="18"/>
        </w:rPr>
      </w:r>
    </w:p>
    <w:p>
      <w:pPr>
        <w:pStyle w:val="ListParagraph"/>
        <w:spacing w:lineRule="auto" w:line="240" w:before="0" w:after="0"/>
        <w:ind w:left="360" w:right="0" w:hanging="0"/>
        <w:contextualSpacing/>
        <w:jc w:val="both"/>
        <w:rPr>
          <w:rFonts w:cs="Calibri"/>
          <w:color w:val="000000"/>
          <w:sz w:val="16"/>
          <w:szCs w:val="16"/>
        </w:rPr>
      </w:pPr>
      <w:r>
        <w:rPr>
          <w:rFonts w:cs="Calibri"/>
          <w:color w:val="000000"/>
          <w:sz w:val="16"/>
          <w:szCs w:val="16"/>
        </w:rPr>
        <w:t xml:space="preserve">Hodnotenie kvality študijného programu zamestnávateľmi (spätná väzba). </w:t>
      </w:r>
    </w:p>
    <w:p>
      <w:pPr>
        <w:pStyle w:val="Normal"/>
        <w:spacing w:before="0" w:after="200"/>
        <w:ind w:left="360" w:right="0" w:hanging="0"/>
        <w:contextualSpacing/>
        <w:jc w:val="both"/>
        <w:rPr>
          <w:rFonts w:eastAsia="Calibri" w:cs="Calibri"/>
          <w:i/>
          <w:i/>
          <w:iCs/>
          <w:color w:val="000000"/>
          <w:sz w:val="16"/>
          <w:szCs w:val="16"/>
        </w:rPr>
      </w:pPr>
      <w:r>
        <w:rPr>
          <w:rFonts w:eastAsia="Calibri" w:cs="Calibri"/>
          <w:i/>
          <w:iCs/>
          <w:color w:val="000000"/>
          <w:sz w:val="16"/>
          <w:szCs w:val="16"/>
        </w:rPr>
        <w:t>O hodnotenie kvality predkladaného ŠP sme požiadali našich absolventov Mgr. Janu Kuzmovú, PhD. odbornú asistentku na PF UK v Bratislave, Mgr. Stanislava Poláka, zástupcu riaditeľa na ZŠ Námestie arm. Gen. L. Svobodu v Bardejove a študentku študijného programu Učiteľstva výtvarného umenia v kombinácii Bc. Moniku Jaklovskú. S uvedenou študentkou a zástupcami praxe boli vedené komunikácie prostredníctvom emailov a stretnutia zabezpečené a vedené garantom programu. Výsledky týchto stretnutí boli spracované v zápisnici a návrhy boli zapracované do programu. Spätná väzba bola  pozitívna a zdôrazňovala sa veľká snaha programu o prepojenie na reálne potreby praxe.</w:t>
      </w:r>
    </w:p>
    <w:p>
      <w:pPr>
        <w:pStyle w:val="Normal"/>
        <w:spacing w:before="0" w:after="200"/>
        <w:contextualSpacing/>
        <w:jc w:val="both"/>
        <w:rPr>
          <w:rFonts w:cs="Calibri"/>
          <w:color w:val="000000"/>
          <w:sz w:val="16"/>
          <w:szCs w:val="16"/>
        </w:rPr>
      </w:pPr>
      <w:r>
        <w:rPr>
          <w:rFonts w:cs="Calibri"/>
          <w:color w:val="000000"/>
          <w:sz w:val="16"/>
          <w:szCs w:val="16"/>
        </w:rPr>
      </w:r>
    </w:p>
    <w:p>
      <w:pPr>
        <w:pStyle w:val="ListParagraph"/>
        <w:numPr>
          <w:ilvl w:val="0"/>
          <w:numId w:val="1"/>
        </w:numPr>
        <w:spacing w:lineRule="auto" w:line="240" w:before="0" w:after="0"/>
        <w:ind w:left="360" w:right="0" w:hanging="360"/>
        <w:contextualSpacing/>
        <w:rPr/>
      </w:pPr>
      <w:r>
        <w:rPr>
          <w:rFonts w:cs="Calibri"/>
          <w:b/>
          <w:bCs/>
          <w:sz w:val="16"/>
          <w:szCs w:val="16"/>
        </w:rPr>
        <w:t>Štruktúra a obsah študijného programu</w:t>
      </w:r>
      <w:r>
        <w:rPr>
          <w:rStyle w:val="FootnoteAnchor"/>
          <w:rFonts w:cs="Calibri"/>
          <w:bCs/>
          <w:szCs w:val="16"/>
        </w:rPr>
        <w:footnoteReference w:id="9"/>
      </w:r>
      <w:r>
        <w:rPr>
          <w:rFonts w:cs="Calibri"/>
          <w:b/>
          <w:bCs/>
          <w:sz w:val="16"/>
          <w:szCs w:val="16"/>
        </w:rPr>
        <w:t xml:space="preserve"> </w:t>
      </w:r>
    </w:p>
    <w:p>
      <w:pPr>
        <w:pStyle w:val="ListParagraph"/>
        <w:numPr>
          <w:ilvl w:val="0"/>
          <w:numId w:val="3"/>
        </w:numPr>
        <w:spacing w:lineRule="auto" w:line="240" w:before="0" w:after="0"/>
        <w:ind w:left="360" w:right="0" w:hanging="360"/>
        <w:contextualSpacing/>
        <w:jc w:val="both"/>
        <w:rPr>
          <w:rFonts w:cs="Calibri"/>
          <w:i/>
          <w:i/>
          <w:iCs/>
          <w:sz w:val="16"/>
          <w:szCs w:val="16"/>
        </w:rPr>
      </w:pPr>
      <w:r>
        <w:rPr>
          <w:rFonts w:cs="Calibri"/>
          <w:i/>
          <w:iCs/>
          <w:sz w:val="16"/>
          <w:szCs w:val="16"/>
        </w:rPr>
        <w:t>Vysoká škola popíše pravidlá na utváranie študijných plánov v študijnom programe.</w:t>
      </w:r>
    </w:p>
    <w:p>
      <w:pPr>
        <w:pStyle w:val="Normal"/>
        <w:spacing w:lineRule="auto" w:line="240" w:before="0" w:after="0"/>
        <w:ind w:left="709" w:right="0" w:hanging="0"/>
        <w:jc w:val="both"/>
        <w:rPr/>
      </w:pPr>
      <w:r>
        <w:rPr>
          <w:rFonts w:cs="Calibri"/>
          <w:i/>
          <w:iCs/>
          <w:sz w:val="16"/>
          <w:szCs w:val="16"/>
        </w:rPr>
        <w:t xml:space="preserve"> </w:t>
      </w:r>
      <w:r>
        <w:rPr>
          <w:i/>
          <w:iCs/>
          <w:color w:val="000000"/>
          <w:sz w:val="16"/>
          <w:szCs w:val="16"/>
        </w:rPr>
        <w:t>Študent si volí predmety v súlade s vyhláškou 614/2002 Z.z. o kreditovom systéme štúdiu a študijným poriadkom PU</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(1) Zápisom si študent určuje, akú časť povinností predpísanú študijným programom chce absolvovať v nasledujúcom období štúdia, na ktorý sa zápis vzťahuje (trimester, semester alebo akademický rok).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(2) Študent si zapisuje predmety tak, aby mu počet kreditov, ktoré môže získať ich úspešným absolvovaním, stačil v danom období na splnenie podmienky na pokračovanie v štúdiu.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(3) Študent si môže počas štúdia opakovane zapísať povinný predmet, ktorý absolvoval neúspešne. Po druhom neúspešnom pokuse o absolvovanie povinného predmetu je študent vylúčený zo štúdia [§ 66 ods.1 písm. c) zákona].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(4) Študent si môže počas štúdia opakovane zapísať povinne voliteľný predmet, ktorý absolvoval neúspešne, alebo si môže zapísať namiesto neho iný povinne voliteľný predmet. Po druhom neúspešnom pokuse o absolvovanie vybraného povinne voliteľného predmetu je študent vylúčený zo štúdia [§ 66 ods. 1 písm. c) zákona]. </w:t>
      </w:r>
    </w:p>
    <w:p>
      <w:pPr>
        <w:pStyle w:val="Normal"/>
        <w:spacing w:lineRule="auto" w:line="240" w:before="0" w:after="0"/>
        <w:ind w:left="709" w:right="0" w:hanging="0"/>
        <w:jc w:val="both"/>
        <w:rPr>
          <w:i/>
          <w:i/>
          <w:iCs/>
          <w:color w:val="000000"/>
          <w:sz w:val="16"/>
          <w:szCs w:val="16"/>
        </w:rPr>
      </w:pPr>
      <w:r>
        <w:rPr>
          <w:i/>
          <w:iCs/>
          <w:color w:val="000000"/>
          <w:sz w:val="16"/>
          <w:szCs w:val="16"/>
        </w:rPr>
        <w:t>(5) Študent si môže počas štúdia opakovane zapísať výberový predmet, ktorý absolvoval neúspešne, alebo si môže namiesto neho zapísať iný výberový predmet alebo povinne voliteľný predmet spomedzi doteraz neabsolvovaných povinne voliteľných predmetov. Ak študent dosiahol dostatočný počet kreditov, nemusí si zapísať žiadny výberový predmet. Ak študent nedosiahol dostatočný počet kreditov, po druhom neúspešnom pokuse o absolvovanie vybraného výberového predmetu je vylúčený zo štúdia [§ 66 ods. 1 písm. c) zákona].</w:t>
      </w:r>
    </w:p>
    <w:p>
      <w:pPr>
        <w:pStyle w:val="ListParagraph"/>
        <w:spacing w:lineRule="auto" w:line="240" w:before="0" w:after="0"/>
        <w:ind w:left="360" w:right="0" w:hanging="0"/>
        <w:contextualSpacing/>
        <w:jc w:val="both"/>
        <w:rPr>
          <w:rFonts w:cs="Calibri"/>
          <w:color w:val="000000"/>
          <w:sz w:val="16"/>
          <w:szCs w:val="16"/>
        </w:rPr>
      </w:pPr>
      <w:r>
        <w:rPr>
          <w:rFonts w:cs="Calibri"/>
          <w:color w:val="000000"/>
          <w:sz w:val="16"/>
          <w:szCs w:val="16"/>
        </w:rPr>
      </w:r>
    </w:p>
    <w:p>
      <w:pPr>
        <w:pStyle w:val="ListParagraph"/>
        <w:numPr>
          <w:ilvl w:val="0"/>
          <w:numId w:val="3"/>
        </w:numPr>
        <w:spacing w:lineRule="auto" w:line="240" w:before="0" w:after="0"/>
        <w:ind w:left="360" w:right="0" w:hanging="360"/>
        <w:contextualSpacing/>
        <w:jc w:val="both"/>
        <w:rPr/>
      </w:pPr>
      <w:r>
        <w:rPr>
          <w:rFonts w:cs="Calibri"/>
          <w:i/>
          <w:iCs/>
          <w:sz w:val="16"/>
          <w:szCs w:val="16"/>
        </w:rPr>
        <w:t>Vysoká škola zostaví odporúčané študijné plány pre jednotlivé cesty v štúdiu</w:t>
      </w:r>
      <w:bookmarkStart w:id="0" w:name="_Hlk52130688"/>
      <w:r>
        <w:rPr>
          <w:rStyle w:val="FootnoteAnchor"/>
          <w:rFonts w:cs="Calibri"/>
          <w:i/>
          <w:iCs/>
          <w:szCs w:val="16"/>
        </w:rPr>
        <w:footnoteReference w:id="10"/>
      </w:r>
      <w:bookmarkEnd w:id="0"/>
      <w:r>
        <w:rPr>
          <w:rFonts w:cs="Calibri"/>
          <w:i/>
          <w:iCs/>
          <w:sz w:val="16"/>
          <w:szCs w:val="16"/>
        </w:rPr>
        <w:t xml:space="preserve">. </w:t>
      </w:r>
    </w:p>
    <w:p>
      <w:pPr>
        <w:pStyle w:val="ListParagraph"/>
        <w:spacing w:lineRule="auto" w:line="240" w:before="0" w:after="0"/>
        <w:ind w:left="360" w:right="0" w:hanging="0"/>
        <w:contextualSpacing/>
        <w:jc w:val="both"/>
        <w:rPr/>
      </w:pPr>
      <w:r>
        <w:rPr>
          <w:rFonts w:cs="Calibri"/>
          <w:i/>
          <w:iCs/>
          <w:sz w:val="16"/>
          <w:szCs w:val="16"/>
        </w:rPr>
        <w:t xml:space="preserve">          </w:t>
      </w:r>
      <w:r>
        <w:rPr>
          <w:i/>
          <w:iCs/>
          <w:color w:val="000000"/>
          <w:sz w:val="16"/>
          <w:szCs w:val="16"/>
        </w:rPr>
        <w:t>V rámci povinne voliteľných predmetov sa môže študent špecializovať v oblasti orchestrálnej hry, zborového spevu alebo</w:t>
      </w:r>
    </w:p>
    <w:p>
      <w:pPr>
        <w:pStyle w:val="ListParagraph"/>
        <w:spacing w:lineRule="auto" w:line="240" w:before="0" w:after="0"/>
        <w:ind w:left="360" w:right="0" w:hanging="0"/>
        <w:contextualSpacing/>
        <w:jc w:val="both"/>
        <w:rPr>
          <w:i/>
          <w:i/>
          <w:iCs/>
          <w:color w:val="000000"/>
          <w:sz w:val="16"/>
          <w:szCs w:val="16"/>
        </w:rPr>
      </w:pPr>
      <w:r>
        <w:rPr>
          <w:i/>
          <w:iCs/>
          <w:color w:val="000000"/>
          <w:sz w:val="16"/>
          <w:szCs w:val="16"/>
        </w:rPr>
        <w:t xml:space="preserve">           </w:t>
      </w:r>
      <w:r>
        <w:rPr>
          <w:i/>
          <w:iCs/>
          <w:color w:val="000000"/>
          <w:sz w:val="16"/>
          <w:szCs w:val="16"/>
        </w:rPr>
        <w:t>hudobného folklóru (viď OŠP nižšie).</w:t>
      </w:r>
    </w:p>
    <w:p>
      <w:pPr>
        <w:pStyle w:val="ListParagraph"/>
        <w:numPr>
          <w:ilvl w:val="0"/>
          <w:numId w:val="3"/>
        </w:numPr>
        <w:spacing w:lineRule="auto" w:line="240" w:before="0" w:after="0"/>
        <w:ind w:left="360" w:right="0" w:hanging="360"/>
        <w:contextualSpacing/>
        <w:jc w:val="both"/>
        <w:rPr>
          <w:rFonts w:cs="Calibri"/>
          <w:i/>
          <w:i/>
          <w:iCs/>
          <w:sz w:val="16"/>
          <w:szCs w:val="16"/>
        </w:rPr>
      </w:pPr>
      <w:r>
        <w:rPr>
          <w:rFonts w:cs="Calibri"/>
          <w:i/>
          <w:iCs/>
          <w:sz w:val="16"/>
          <w:szCs w:val="16"/>
        </w:rPr>
        <w:t xml:space="preserve">V študijnom pláne spravidla uvedie: </w:t>
      </w:r>
    </w:p>
    <w:p>
      <w:pPr>
        <w:pStyle w:val="ListParagraph"/>
        <w:numPr>
          <w:ilvl w:val="0"/>
          <w:numId w:val="6"/>
        </w:numPr>
        <w:spacing w:lineRule="auto" w:line="240" w:before="0" w:after="0"/>
        <w:ind w:left="720" w:right="0" w:hanging="360"/>
        <w:contextualSpacing/>
        <w:jc w:val="both"/>
        <w:rPr/>
      </w:pPr>
      <w:r>
        <w:rPr>
          <w:rFonts w:cs="Calibri"/>
          <w:i/>
          <w:iCs/>
          <w:sz w:val="16"/>
          <w:szCs w:val="16"/>
        </w:rPr>
        <w:t xml:space="preserve"> </w:t>
      </w:r>
      <w:r>
        <w:rPr>
          <w:rFonts w:cs="Calibri"/>
          <w:i/>
          <w:iCs/>
          <w:sz w:val="16"/>
          <w:szCs w:val="16"/>
        </w:rPr>
        <w:t>j</w:t>
      </w:r>
      <w:r>
        <w:rPr>
          <w:rFonts w:cs="Calibri"/>
          <w:i/>
          <w:iCs/>
          <w:color w:val="000000"/>
          <w:sz w:val="16"/>
          <w:szCs w:val="16"/>
        </w:rPr>
        <w:t>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pPr>
        <w:pStyle w:val="ListParagraph"/>
        <w:spacing w:lineRule="auto" w:line="240" w:before="0" w:after="0"/>
        <w:contextualSpacing/>
        <w:jc w:val="both"/>
        <w:rPr>
          <w:rFonts w:cs="Calibri"/>
          <w:i/>
          <w:i/>
          <w:iCs/>
          <w:color w:val="000000"/>
          <w:sz w:val="16"/>
          <w:szCs w:val="16"/>
        </w:rPr>
      </w:pPr>
      <w:bookmarkStart w:id="1" w:name="_Hlk90642472"/>
      <w:r>
        <w:rPr>
          <w:rFonts w:cs="Calibri"/>
          <w:i/>
          <w:iCs/>
          <w:color w:val="000000"/>
          <w:sz w:val="16"/>
          <w:szCs w:val="16"/>
        </w:rPr>
        <w:t xml:space="preserve">Jednotlivé časti študijného programu sú uvedené v Odporúčanom študijnom pláne (viď. nižšie). </w:t>
      </w:r>
      <w:bookmarkEnd w:id="1"/>
    </w:p>
    <w:p>
      <w:pPr>
        <w:pStyle w:val="ListParagraph"/>
        <w:numPr>
          <w:ilvl w:val="0"/>
          <w:numId w:val="6"/>
        </w:numPr>
        <w:spacing w:lineRule="auto" w:line="240" w:before="0" w:after="0"/>
        <w:ind w:left="720" w:right="0" w:hanging="360"/>
        <w:contextualSpacing/>
        <w:jc w:val="both"/>
        <w:rPr/>
      </w:pPr>
      <w:r>
        <w:rPr>
          <w:i/>
          <w:iCs/>
          <w:color w:val="000000"/>
          <w:sz w:val="16"/>
          <w:szCs w:val="16"/>
        </w:rPr>
        <w:t xml:space="preserve">v študijnom programe vyznačí </w:t>
      </w:r>
      <w:r>
        <w:rPr>
          <w:b/>
          <w:bCs/>
          <w:i/>
          <w:iCs/>
          <w:color w:val="000000"/>
          <w:sz w:val="16"/>
          <w:szCs w:val="16"/>
        </w:rPr>
        <w:t xml:space="preserve">profilové predmety </w:t>
      </w:r>
      <w:r>
        <w:rPr>
          <w:i/>
          <w:iCs/>
          <w:color w:val="000000"/>
          <w:sz w:val="16"/>
          <w:szCs w:val="16"/>
        </w:rPr>
        <w:t>príslušnej cesty v štúdiu (špecializácie),</w:t>
      </w:r>
    </w:p>
    <w:p>
      <w:pPr>
        <w:pStyle w:val="Normal"/>
        <w:spacing w:lineRule="auto" w:line="240" w:before="0" w:after="0"/>
        <w:ind w:left="709" w:right="0" w:hanging="0"/>
        <w:jc w:val="both"/>
        <w:rPr>
          <w:i/>
          <w:i/>
          <w:iCs/>
          <w:color w:val="000000"/>
          <w:sz w:val="16"/>
          <w:szCs w:val="16"/>
        </w:rPr>
      </w:pPr>
      <w:r>
        <w:rPr>
          <w:i/>
          <w:iCs/>
          <w:color w:val="000000"/>
          <w:sz w:val="16"/>
          <w:szCs w:val="16"/>
        </w:rPr>
        <w:t>Profilové predmety sú označené v odporúčanom študijnom pláne. Profilové predmety študijného programu Učiteľstvo anglického jazyka a literatúry v kombinácii sú:</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Dejiny výtvarného umenia 1</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Dejiny výtvarného umenia 2</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Dejiny výtvarného umenia 3</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Dejiny výtvarného umenia 4</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Dejiny výtvarného umenia 5</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Dejiny výtvarného umenia 6</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Kresba a grafika 1</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Kresba a grafika 2</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Kresba a grafika 3</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Kresba a grafika 4</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Maľba 1</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Maľba 2</w:t>
      </w:r>
    </w:p>
    <w:p>
      <w:pPr>
        <w:pStyle w:val="ListParagraph"/>
        <w:numPr>
          <w:ilvl w:val="0"/>
          <w:numId w:val="9"/>
        </w:numPr>
        <w:spacing w:lineRule="auto" w:line="240" w:before="0" w:after="0"/>
        <w:ind w:left="1429" w:right="0" w:hanging="360"/>
        <w:contextualSpacing/>
        <w:jc w:val="both"/>
        <w:rPr>
          <w:i/>
          <w:i/>
          <w:iCs/>
          <w:color w:val="000000"/>
          <w:sz w:val="16"/>
          <w:szCs w:val="16"/>
        </w:rPr>
      </w:pPr>
      <w:r>
        <w:rPr>
          <w:i/>
          <w:iCs/>
          <w:color w:val="000000"/>
          <w:sz w:val="16"/>
          <w:szCs w:val="16"/>
        </w:rPr>
        <w:t>Maľba 3</w:t>
      </w:r>
    </w:p>
    <w:p>
      <w:pPr>
        <w:pStyle w:val="ListParagraph"/>
        <w:spacing w:lineRule="auto" w:line="240" w:before="0" w:after="0"/>
        <w:ind w:left="1429" w:right="0" w:hanging="0"/>
        <w:contextualSpacing/>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i/>
          <w:i/>
          <w:iCs/>
          <w:color w:val="000000"/>
          <w:sz w:val="16"/>
          <w:szCs w:val="16"/>
        </w:rPr>
      </w:pPr>
      <w:r>
        <w:rPr>
          <w:i/>
          <w:iCs/>
          <w:color w:val="000000"/>
          <w:sz w:val="16"/>
          <w:szCs w:val="16"/>
        </w:rPr>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pPr>
        <w:pStyle w:val="Normal"/>
        <w:spacing w:lineRule="auto" w:line="240" w:before="0" w:after="0"/>
        <w:ind w:left="709" w:right="0" w:hanging="0"/>
        <w:jc w:val="both"/>
        <w:rPr>
          <w:i/>
          <w:i/>
          <w:iCs/>
          <w:color w:val="000000"/>
          <w:sz w:val="16"/>
          <w:szCs w:val="16"/>
        </w:rPr>
      </w:pPr>
      <w:r>
        <w:rPr>
          <w:i/>
          <w:iCs/>
          <w:color w:val="000000"/>
          <w:sz w:val="16"/>
          <w:szCs w:val="16"/>
        </w:rPr>
        <w:t>Všetky informačné listy predmetov obsahujú výstupy vzdelávania a súvisiace kritériá a pravidlá ich hodnotenia. Infolisty sú dostupné na verejnom portáli informačného systému PU: https://student.unipo.sk/maisportal/studijneProgramy.mais</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i/>
          <w:i/>
          <w:iCs/>
          <w:color w:val="000000"/>
          <w:sz w:val="16"/>
          <w:szCs w:val="16"/>
        </w:rPr>
      </w:pPr>
      <w:r>
        <w:rPr>
          <w:i/>
          <w:iCs/>
          <w:color w:val="000000"/>
          <w:sz w:val="16"/>
          <w:szCs w:val="16"/>
        </w:rPr>
        <w:t>prerekvizity, korekvizity a odporúčania pri tvorbe študijného plánu</w:t>
      </w:r>
    </w:p>
    <w:p>
      <w:pPr>
        <w:pStyle w:val="Normal"/>
        <w:spacing w:lineRule="auto" w:line="240" w:before="0" w:after="0"/>
        <w:ind w:left="709" w:right="0" w:hanging="0"/>
        <w:jc w:val="both"/>
        <w:rPr>
          <w:i/>
          <w:i/>
          <w:iCs/>
          <w:color w:val="000000"/>
          <w:sz w:val="16"/>
          <w:szCs w:val="16"/>
        </w:rPr>
      </w:pPr>
      <w:r>
        <w:rPr>
          <w:i/>
          <w:iCs/>
          <w:color w:val="000000"/>
          <w:sz w:val="16"/>
          <w:szCs w:val="16"/>
        </w:rPr>
        <w:t>Prerekvizity a odporúčania pri tvorbe študijného plánu sú vyznačené v infolistoch.</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i/>
          <w:i/>
          <w:iCs/>
          <w:color w:val="000000"/>
          <w:sz w:val="16"/>
          <w:szCs w:val="16"/>
        </w:rPr>
      </w:pPr>
      <w:r>
        <w:rPr>
          <w:i/>
          <w:iCs/>
          <w:color w:val="000000"/>
          <w:sz w:val="16"/>
          <w:szCs w:val="16"/>
        </w:rPr>
        <w:t xml:space="preserve">pre každú vzdelávaciu časť študijného plánu/predmet stanoví používané vzdelávacie činnosti (prednáška, seminár, záverečná práca, projektová práca,  stáž, exkurzia, odborná prax, štátna skúška a ďalšie, prípadne ich kombinácie) vhodné na dosahovanie výstupov vzdelávania, </w:t>
      </w:r>
    </w:p>
    <w:p>
      <w:pPr>
        <w:pStyle w:val="Normal"/>
        <w:spacing w:lineRule="auto" w:line="240" w:before="0" w:after="0"/>
        <w:ind w:left="709" w:right="0" w:hanging="0"/>
        <w:jc w:val="both"/>
        <w:rPr>
          <w:i/>
          <w:i/>
          <w:iCs/>
          <w:color w:val="000000"/>
          <w:sz w:val="16"/>
          <w:szCs w:val="16"/>
        </w:rPr>
      </w:pPr>
      <w:r>
        <w:rPr>
          <w:i/>
          <w:iCs/>
          <w:color w:val="000000"/>
          <w:sz w:val="16"/>
          <w:szCs w:val="16"/>
        </w:rPr>
        <w:t>Pri každom predmete v rámci odporúčaného študijného plánu sú stanovené používané vzdelávacie činnosti (prednáška, seminár) vrátane ich hodinovej dotácie. Informácie sú obsiahnuté v informačných listoch jednotlivých predmetov.</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i/>
          <w:i/>
          <w:iCs/>
          <w:color w:val="000000"/>
          <w:sz w:val="16"/>
          <w:szCs w:val="16"/>
        </w:rPr>
      </w:pPr>
      <w:r>
        <w:rPr>
          <w:i/>
          <w:iCs/>
          <w:color w:val="000000"/>
          <w:sz w:val="16"/>
          <w:szCs w:val="16"/>
        </w:rPr>
        <w:t>metódy, akými sa vzdelávacia činnosť uskutočňuje – prezenčná, dištančná, kombinovaná (v súlade s Informačnými listami predmetov),</w:t>
      </w:r>
    </w:p>
    <w:p>
      <w:pPr>
        <w:pStyle w:val="Normal"/>
        <w:spacing w:lineRule="auto" w:line="240" w:before="0" w:after="0"/>
        <w:ind w:left="709" w:right="0" w:hanging="0"/>
        <w:jc w:val="both"/>
        <w:rPr>
          <w:i/>
          <w:i/>
          <w:iCs/>
          <w:color w:val="000000"/>
          <w:sz w:val="16"/>
          <w:szCs w:val="16"/>
        </w:rPr>
      </w:pPr>
      <w:r>
        <w:rPr>
          <w:i/>
          <w:iCs/>
          <w:color w:val="000000"/>
          <w:sz w:val="16"/>
          <w:szCs w:val="16"/>
        </w:rPr>
        <w:t>Metódy vzdelávania na všetkých predmetoch sú uvedené v informačných listoch jednotlivých predmetov odporúčaného študijného plánu.</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pPr>
      <w:r>
        <w:rPr>
          <w:i/>
          <w:iCs/>
          <w:color w:val="000000"/>
          <w:sz w:val="16"/>
          <w:szCs w:val="16"/>
        </w:rPr>
        <w:t>osnovu/ sylaby predmetu</w:t>
      </w:r>
      <w:r>
        <w:rPr>
          <w:rStyle w:val="FootnoteAnchor"/>
          <w:i/>
          <w:iCs/>
          <w:color w:val="000000"/>
          <w:szCs w:val="16"/>
        </w:rPr>
        <w:footnoteReference w:id="11"/>
      </w:r>
      <w:r>
        <w:rPr>
          <w:i/>
          <w:iCs/>
          <w:color w:val="000000"/>
          <w:sz w:val="16"/>
          <w:szCs w:val="16"/>
        </w:rPr>
        <w:t xml:space="preserve">, </w:t>
      </w:r>
    </w:p>
    <w:p>
      <w:pPr>
        <w:pStyle w:val="Normal"/>
        <w:spacing w:lineRule="auto" w:line="240" w:before="0" w:after="0"/>
        <w:ind w:left="709" w:right="0" w:hanging="0"/>
        <w:jc w:val="both"/>
        <w:rPr>
          <w:i/>
          <w:i/>
          <w:iCs/>
          <w:color w:val="000000"/>
          <w:sz w:val="16"/>
          <w:szCs w:val="16"/>
        </w:rPr>
      </w:pPr>
      <w:r>
        <w:rPr>
          <w:i/>
          <w:iCs/>
          <w:color w:val="000000"/>
          <w:sz w:val="16"/>
          <w:szCs w:val="16"/>
        </w:rPr>
        <w:t>Osnova predmetu je povinnou súčasťou informačných listov všetkých predmetov odporúčaného študijného plánu.</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pPr>
      <w:r>
        <w:rPr>
          <w:i/>
          <w:iCs/>
          <w:color w:val="000000"/>
          <w:sz w:val="16"/>
          <w:szCs w:val="16"/>
        </w:rPr>
        <w:t>pracovné zaťaženie študenta („rozsah“ pre jednotlivé predmety a vzdelávacie činnosti samostatne)</w:t>
      </w:r>
      <w:r>
        <w:rPr>
          <w:rStyle w:val="FootnoteAnchor"/>
          <w:i/>
          <w:iCs/>
          <w:color w:val="000000"/>
          <w:szCs w:val="16"/>
        </w:rPr>
        <w:footnoteReference w:id="12"/>
      </w:r>
      <w:r>
        <w:rPr>
          <w:i/>
          <w:iCs/>
          <w:color w:val="000000"/>
          <w:sz w:val="16"/>
          <w:szCs w:val="16"/>
        </w:rPr>
        <w:t xml:space="preserve">, </w:t>
      </w:r>
    </w:p>
    <w:p>
      <w:pPr>
        <w:pStyle w:val="Normal"/>
        <w:spacing w:lineRule="auto" w:line="240" w:before="0" w:after="0"/>
        <w:ind w:left="709" w:right="0" w:hanging="0"/>
        <w:jc w:val="both"/>
        <w:rPr>
          <w:i/>
          <w:i/>
          <w:iCs/>
          <w:color w:val="000000"/>
          <w:sz w:val="16"/>
          <w:szCs w:val="16"/>
        </w:rPr>
      </w:pPr>
      <w:r>
        <w:rPr>
          <w:i/>
          <w:iCs/>
          <w:color w:val="000000"/>
          <w:sz w:val="16"/>
          <w:szCs w:val="16"/>
        </w:rPr>
        <w:t>V jednotlivých informačných listoch predmetov je uvedené pracovné zaťaženie študenta a podiel jednotlivých činností (napr. účasť na priamej vyučovacej činnosti, práca na seminárnej práci, samoštúdium a pod.) na celkovej záťaži študenta.</w:t>
      </w:r>
    </w:p>
    <w:p>
      <w:pPr>
        <w:pStyle w:val="ListParagraph"/>
        <w:spacing w:lineRule="auto" w:line="240" w:before="0" w:after="0"/>
        <w:contextualSpacing/>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i/>
          <w:i/>
          <w:iCs/>
          <w:color w:val="000000"/>
          <w:sz w:val="16"/>
          <w:szCs w:val="16"/>
        </w:rPr>
      </w:pPr>
      <w:r>
        <w:rPr>
          <w:i/>
          <w:iCs/>
          <w:color w:val="000000"/>
          <w:sz w:val="16"/>
          <w:szCs w:val="16"/>
        </w:rPr>
        <w:t xml:space="preserve">kredity pridelené každej časti na základe dosahovaných výstupov vzdelávania a súvisiaceho pracovného zaťaženia, </w:t>
      </w:r>
    </w:p>
    <w:p>
      <w:pPr>
        <w:pStyle w:val="Normal"/>
        <w:spacing w:lineRule="auto" w:line="240" w:before="0" w:after="0"/>
        <w:ind w:left="709" w:right="0" w:hanging="0"/>
        <w:jc w:val="both"/>
        <w:rPr>
          <w:i/>
          <w:i/>
          <w:iCs/>
          <w:color w:val="000000"/>
          <w:sz w:val="16"/>
          <w:szCs w:val="16"/>
        </w:rPr>
      </w:pPr>
      <w:r>
        <w:rPr>
          <w:i/>
          <w:iCs/>
          <w:color w:val="000000"/>
          <w:sz w:val="16"/>
          <w:szCs w:val="16"/>
        </w:rPr>
        <w:t>Kreditová dotácia predmetov odráža ich náročnosť a intenzitu/mieru pracovného zaťaženia študenta. Počet kreditov uvádza každý informačný list.</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ListParagraph"/>
        <w:numPr>
          <w:ilvl w:val="0"/>
          <w:numId w:val="6"/>
        </w:numPr>
        <w:spacing w:lineRule="auto" w:line="240" w:before="0" w:after="0"/>
        <w:ind w:left="720" w:right="0" w:hanging="360"/>
        <w:contextualSpacing/>
        <w:jc w:val="both"/>
        <w:rPr/>
      </w:pPr>
      <w:r>
        <w:rPr>
          <w:i/>
          <w:iCs/>
          <w:color w:val="000000"/>
          <w:sz w:val="16"/>
          <w:szCs w:val="16"/>
        </w:rPr>
        <w:t>osobu zabezpečujúcu predmet (alebo partnerskú organizáciu a osobu</w:t>
      </w:r>
      <w:r>
        <w:rPr>
          <w:rStyle w:val="FootnoteAnchor"/>
          <w:i/>
          <w:iCs/>
          <w:color w:val="000000"/>
          <w:szCs w:val="16"/>
        </w:rPr>
        <w:footnoteReference w:id="13"/>
      </w:r>
      <w:r>
        <w:rPr>
          <w:i/>
          <w:iCs/>
          <w:color w:val="000000"/>
          <w:sz w:val="16"/>
          <w:szCs w:val="16"/>
        </w:rPr>
        <w:t xml:space="preserve">) s uvedením kontaktu, </w:t>
      </w:r>
    </w:p>
    <w:p>
      <w:pPr>
        <w:pStyle w:val="Normal"/>
        <w:spacing w:lineRule="auto" w:line="240" w:before="0" w:after="0"/>
        <w:ind w:left="709" w:right="0" w:hanging="0"/>
        <w:jc w:val="both"/>
        <w:rPr>
          <w:i/>
          <w:i/>
          <w:iCs/>
          <w:color w:val="000000"/>
          <w:sz w:val="16"/>
          <w:szCs w:val="16"/>
        </w:rPr>
      </w:pPr>
      <w:r>
        <w:rPr>
          <w:i/>
          <w:iCs/>
          <w:color w:val="000000"/>
          <w:sz w:val="16"/>
          <w:szCs w:val="16"/>
        </w:rPr>
        <w:t>Mená osôb zabezpečujúcich jednotlivé predmety študijného programu sú uvedené v každom informačnom liste:</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Normal"/>
        <w:spacing w:lineRule="auto" w:line="240" w:before="0" w:after="0"/>
        <w:ind w:left="709" w:right="0" w:hanging="0"/>
        <w:jc w:val="both"/>
        <w:rPr/>
      </w:pPr>
      <w:r>
        <w:rPr>
          <w:i/>
          <w:iCs/>
          <w:color w:val="000000"/>
          <w:sz w:val="16"/>
          <w:szCs w:val="16"/>
        </w:rPr>
        <w:t xml:space="preserve">Dr.hab. Peter Kocák, PhD., akademický maliar, </w:t>
      </w:r>
      <w:hyperlink r:id="rId4">
        <w:r>
          <w:rPr>
            <w:rStyle w:val="InternetLink"/>
            <w:i/>
            <w:iCs/>
            <w:sz w:val="16"/>
            <w:szCs w:val="16"/>
          </w:rPr>
          <w:t>peter.kocak@unipo.sk</w:t>
        </w:r>
      </w:hyperlink>
    </w:p>
    <w:p>
      <w:pPr>
        <w:pStyle w:val="Normal"/>
        <w:spacing w:lineRule="auto" w:line="240" w:before="0" w:after="0"/>
        <w:ind w:left="709" w:right="0" w:hanging="0"/>
        <w:jc w:val="both"/>
        <w:rPr/>
      </w:pPr>
      <w:r>
        <w:rPr>
          <w:i/>
          <w:iCs/>
          <w:color w:val="000000"/>
          <w:sz w:val="16"/>
          <w:szCs w:val="16"/>
        </w:rPr>
        <w:t xml:space="preserve">doc. Vladislav Grešlík, ArtD., </w:t>
      </w:r>
      <w:hyperlink r:id="rId5">
        <w:r>
          <w:rPr>
            <w:rStyle w:val="InternetLink"/>
            <w:i/>
            <w:iCs/>
            <w:sz w:val="16"/>
            <w:szCs w:val="16"/>
          </w:rPr>
          <w:t>vladislav.grešlik@unipo.sk</w:t>
        </w:r>
      </w:hyperlink>
    </w:p>
    <w:p>
      <w:pPr>
        <w:pStyle w:val="Normal"/>
        <w:spacing w:lineRule="auto" w:line="240" w:before="0" w:after="0"/>
        <w:ind w:left="709" w:right="0" w:hanging="0"/>
        <w:jc w:val="both"/>
        <w:rPr/>
      </w:pPr>
      <w:r>
        <w:rPr>
          <w:i/>
          <w:iCs/>
          <w:color w:val="000000"/>
          <w:sz w:val="16"/>
          <w:szCs w:val="16"/>
        </w:rPr>
        <w:t xml:space="preserve">doc. Martin Zbojan, PhD., akademický maliar, </w:t>
      </w:r>
      <w:hyperlink r:id="rId6">
        <w:r>
          <w:rPr>
            <w:rStyle w:val="InternetLink"/>
            <w:i/>
            <w:iCs/>
            <w:sz w:val="16"/>
            <w:szCs w:val="16"/>
          </w:rPr>
          <w:t>martin.zbojan@unipo.sk</w:t>
        </w:r>
      </w:hyperlink>
    </w:p>
    <w:p>
      <w:pPr>
        <w:pStyle w:val="Normal"/>
        <w:spacing w:lineRule="auto" w:line="240" w:before="0" w:after="0"/>
        <w:ind w:left="709" w:right="0" w:hanging="0"/>
        <w:jc w:val="both"/>
        <w:rPr/>
      </w:pPr>
      <w:r>
        <w:rPr>
          <w:i/>
          <w:iCs/>
          <w:color w:val="000000"/>
          <w:sz w:val="16"/>
          <w:szCs w:val="16"/>
        </w:rPr>
        <w:t>Mgr. Adam Macko, ArtD., adam.macko</w:t>
      </w:r>
      <w:r>
        <w:rPr>
          <w:i/>
          <w:iCs/>
          <w:color w:val="000000"/>
          <w:sz w:val="16"/>
          <w:szCs w:val="16"/>
          <w:lang w:val="en-US"/>
        </w:rPr>
        <w:t>@unipo.sk</w:t>
      </w:r>
    </w:p>
    <w:p>
      <w:pPr>
        <w:pStyle w:val="Normal"/>
        <w:spacing w:lineRule="auto" w:line="240" w:before="0" w:after="0"/>
        <w:ind w:left="709" w:right="0" w:hanging="0"/>
        <w:jc w:val="both"/>
        <w:rPr/>
      </w:pPr>
      <w:r>
        <w:rPr>
          <w:i/>
          <w:iCs/>
          <w:color w:val="000000"/>
          <w:sz w:val="16"/>
          <w:szCs w:val="16"/>
        </w:rPr>
        <w:t xml:space="preserve">Mgr. Jaroslav Ondo, PhD. </w:t>
      </w:r>
      <w:hyperlink r:id="rId7">
        <w:r>
          <w:rPr>
            <w:rStyle w:val="InternetLink"/>
            <w:i/>
            <w:iCs/>
            <w:sz w:val="16"/>
            <w:szCs w:val="16"/>
          </w:rPr>
          <w:t>jaroslav.ondo@unipo.sk</w:t>
        </w:r>
      </w:hyperlink>
    </w:p>
    <w:p>
      <w:pPr>
        <w:pStyle w:val="Normal"/>
        <w:spacing w:lineRule="auto" w:line="240" w:before="0" w:after="0"/>
        <w:ind w:left="709" w:right="0" w:hanging="0"/>
        <w:jc w:val="both"/>
        <w:rPr/>
      </w:pPr>
      <w:r>
        <w:rPr>
          <w:i/>
          <w:iCs/>
          <w:color w:val="000000"/>
          <w:sz w:val="16"/>
          <w:szCs w:val="16"/>
        </w:rPr>
        <w:t xml:space="preserve">Mgr. art. Vladimír Ganaj, ArtD., </w:t>
      </w:r>
      <w:hyperlink r:id="rId8">
        <w:r>
          <w:rPr>
            <w:rStyle w:val="InternetLink"/>
            <w:i/>
            <w:iCs/>
            <w:sz w:val="16"/>
            <w:szCs w:val="16"/>
          </w:rPr>
          <w:t>vladimir.ganaj@unipo.sk</w:t>
        </w:r>
      </w:hyperlink>
    </w:p>
    <w:p>
      <w:pPr>
        <w:pStyle w:val="Normal"/>
        <w:spacing w:lineRule="auto" w:line="240" w:before="0" w:after="0"/>
        <w:ind w:left="709" w:right="0" w:hanging="0"/>
        <w:jc w:val="both"/>
        <w:rPr>
          <w:i/>
          <w:i/>
          <w:iCs/>
          <w:color w:val="000000"/>
          <w:sz w:val="16"/>
          <w:szCs w:val="16"/>
        </w:rPr>
      </w:pPr>
      <w:r>
        <w:rPr>
          <w:i/>
          <w:iCs/>
          <w:color w:val="000000"/>
          <w:sz w:val="16"/>
          <w:szCs w:val="16"/>
        </w:rPr>
        <w:t xml:space="preserve">Mgr. art. Radka Baňacká, ArtD., </w:t>
      </w:r>
    </w:p>
    <w:p>
      <w:pPr>
        <w:pStyle w:val="Normal"/>
        <w:spacing w:lineRule="auto" w:line="240" w:before="0" w:after="0"/>
        <w:jc w:val="both"/>
        <w:rPr>
          <w:rFonts w:cs="Calibri"/>
          <w:sz w:val="16"/>
          <w:szCs w:val="16"/>
        </w:rPr>
      </w:pPr>
      <w:r>
        <w:rPr>
          <w:rFonts w:cs="Calibri"/>
          <w:sz w:val="16"/>
          <w:szCs w:val="16"/>
        </w:rPr>
      </w:r>
    </w:p>
    <w:p>
      <w:pPr>
        <w:pStyle w:val="ListParagraph"/>
        <w:numPr>
          <w:ilvl w:val="0"/>
          <w:numId w:val="6"/>
        </w:numPr>
        <w:spacing w:lineRule="auto" w:line="240" w:before="0" w:after="0"/>
        <w:ind w:left="720" w:right="0" w:hanging="360"/>
        <w:contextualSpacing/>
        <w:jc w:val="both"/>
        <w:rPr>
          <w:rFonts w:cs="Calibri"/>
          <w:i/>
          <w:i/>
          <w:iCs/>
          <w:sz w:val="16"/>
          <w:szCs w:val="16"/>
        </w:rPr>
      </w:pPr>
      <w:r>
        <w:rPr>
          <w:rFonts w:cs="Calibri"/>
          <w:i/>
          <w:iCs/>
          <w:sz w:val="16"/>
          <w:szCs w:val="16"/>
        </w:rPr>
        <w:t xml:space="preserve">učiteľov predmetu (alebo podieľajúce sa partnerské organizácie a osoby) (môžu byť uvedené aj v IL predmetov), </w:t>
      </w:r>
    </w:p>
    <w:p>
      <w:pPr>
        <w:pStyle w:val="ListParagraph"/>
        <w:spacing w:lineRule="auto" w:line="240" w:before="0" w:after="0"/>
        <w:contextualSpacing/>
        <w:jc w:val="both"/>
        <w:rPr>
          <w:rFonts w:cs="Calibri"/>
          <w:i/>
          <w:i/>
          <w:iCs/>
          <w:sz w:val="16"/>
          <w:szCs w:val="16"/>
        </w:rPr>
      </w:pPr>
      <w:r>
        <w:rPr>
          <w:rFonts w:cs="Calibri"/>
          <w:i/>
          <w:iCs/>
          <w:sz w:val="16"/>
          <w:szCs w:val="16"/>
        </w:rPr>
      </w:r>
    </w:p>
    <w:p>
      <w:pPr>
        <w:pStyle w:val="ListParagraph"/>
        <w:numPr>
          <w:ilvl w:val="0"/>
          <w:numId w:val="6"/>
        </w:numPr>
        <w:spacing w:lineRule="auto" w:line="240" w:before="0" w:after="0"/>
        <w:ind w:left="720" w:right="0" w:hanging="360"/>
        <w:contextualSpacing/>
        <w:jc w:val="both"/>
        <w:rPr>
          <w:rFonts w:cs="Calibri"/>
          <w:i/>
          <w:i/>
          <w:iCs/>
          <w:sz w:val="16"/>
          <w:szCs w:val="16"/>
        </w:rPr>
      </w:pPr>
      <w:r>
        <w:rPr>
          <w:rFonts w:cs="Calibri"/>
          <w:i/>
          <w:iCs/>
          <w:sz w:val="16"/>
          <w:szCs w:val="16"/>
        </w:rPr>
        <w:t>miesto uskutočňovania predmetu (ak sa študijný programu uskutočňuje na viacerých pracoviskách).</w:t>
      </w:r>
    </w:p>
    <w:p>
      <w:pPr>
        <w:pStyle w:val="Normal"/>
        <w:spacing w:lineRule="auto" w:line="240" w:before="0" w:after="0"/>
        <w:ind w:left="709" w:right="0" w:hanging="0"/>
        <w:jc w:val="both"/>
        <w:rPr/>
      </w:pPr>
      <w:r>
        <w:rPr>
          <w:rFonts w:cs="Calibri"/>
          <w:i/>
          <w:iCs/>
          <w:sz w:val="16"/>
          <w:szCs w:val="16"/>
        </w:rPr>
        <w:t xml:space="preserve">     </w:t>
      </w:r>
      <w:r>
        <w:rPr>
          <w:i/>
          <w:iCs/>
          <w:color w:val="000000"/>
          <w:sz w:val="16"/>
          <w:szCs w:val="16"/>
        </w:rPr>
        <w:t>Študijný program sa uskutočňuje v mieste sídla univerzity a fakulty, okrem pedagogických praxí, ktoré sa realizujú na cvičných</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     </w:t>
      </w:r>
      <w:r>
        <w:rPr>
          <w:i/>
          <w:iCs/>
          <w:color w:val="000000"/>
          <w:sz w:val="16"/>
          <w:szCs w:val="16"/>
        </w:rPr>
        <w:t>školách Prešovskej univerzity.</w:t>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Normal"/>
        <w:spacing w:lineRule="auto" w:line="240" w:before="0" w:after="0"/>
        <w:ind w:left="709" w:right="0" w:hanging="0"/>
        <w:jc w:val="both"/>
        <w:rPr>
          <w:i/>
          <w:i/>
          <w:iCs/>
          <w:color w:val="000000"/>
          <w:sz w:val="16"/>
          <w:szCs w:val="16"/>
        </w:rPr>
      </w:pPr>
      <w:r>
        <w:rPr>
          <w:i/>
          <w:iCs/>
          <w:color w:val="000000"/>
          <w:sz w:val="16"/>
          <w:szCs w:val="16"/>
        </w:rPr>
      </w:r>
    </w:p>
    <w:p>
      <w:pPr>
        <w:pStyle w:val="Normal"/>
        <w:rPr>
          <w:rFonts w:cs="Calibri"/>
          <w:i/>
          <w:i/>
          <w:iCs/>
          <w:sz w:val="16"/>
          <w:szCs w:val="16"/>
          <w:lang w:eastAsia="sk-SK"/>
        </w:rPr>
      </w:pPr>
      <w:r>
        <w:rPr>
          <w:rFonts w:cs="Calibri"/>
          <w:i/>
          <w:iCs/>
          <w:sz w:val="16"/>
          <w:szCs w:val="16"/>
          <w:lang w:eastAsia="sk-SK"/>
        </w:rPr>
      </w:r>
      <w:r>
        <w:br w:type="page"/>
      </w:r>
    </w:p>
    <w:p>
      <w:pPr>
        <w:sectPr>
          <w:footerReference w:type="default" r:id="rId9"/>
          <w:footerReference w:type="first" r:id="rId10"/>
          <w:footnotePr>
            <w:numFmt w:val="decimal"/>
          </w:footnotePr>
          <w:type w:val="nextPage"/>
          <w:pgSz w:orient="landscape" w:w="16838" w:h="11906"/>
          <w:pgMar w:left="1276" w:right="1417" w:gutter="0" w:header="0" w:top="1276" w:footer="708" w:bottom="1276"/>
          <w:pgNumType w:fmt="decimal"/>
          <w:formProt w:val="false"/>
          <w:titlePg/>
          <w:textDirection w:val="lrTb"/>
          <w:docGrid w:type="default" w:linePitch="360" w:charSpace="4096"/>
        </w:sectPr>
        <w:pStyle w:val="ListParagraph"/>
        <w:spacing w:lineRule="auto" w:line="240" w:before="0" w:after="0"/>
        <w:contextualSpacing/>
        <w:jc w:val="both"/>
        <w:rPr>
          <w:rFonts w:cs="Calibri"/>
          <w:i/>
          <w:i/>
          <w:iCs/>
          <w:sz w:val="16"/>
          <w:szCs w:val="16"/>
        </w:rPr>
      </w:pPr>
      <w:r>
        <w:rPr>
          <w:rFonts w:cs="Calibri"/>
          <w:i/>
          <w:iCs/>
          <w:sz w:val="16"/>
          <w:szCs w:val="16"/>
        </w:rPr>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III.6 Odporúčaný študijný plán (kritérium KSP-B1)</w:t>
      </w:r>
    </w:p>
    <w:p>
      <w:pPr>
        <w:pStyle w:val="Normal"/>
        <w:spacing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t>Študijný program: Učiteľstvo výtvarného umenia v kombinácii</w:t>
      </w:r>
    </w:p>
    <w:p>
      <w:pPr>
        <w:pStyle w:val="Normal"/>
        <w:spacing w:lineRule="auto" w:line="240" w:before="0" w:after="0"/>
        <w:rPr>
          <w:rFonts w:ascii="Times New Roman" w:hAnsi="Times New Roman"/>
          <w:b/>
          <w:b/>
          <w:sz w:val="24"/>
          <w:szCs w:val="24"/>
        </w:rPr>
      </w:pPr>
      <w:r>
        <w:rPr>
          <w:rFonts w:ascii="Times New Roman" w:hAnsi="Times New Roman"/>
          <w:b/>
          <w:sz w:val="24"/>
          <w:szCs w:val="24"/>
        </w:rPr>
        <w:t>Stupeň štúdia: 1. (prvý)</w:t>
      </w:r>
    </w:p>
    <w:p>
      <w:pPr>
        <w:pStyle w:val="Normal"/>
        <w:spacing w:lineRule="auto" w:line="240" w:before="0" w:after="0"/>
        <w:rPr>
          <w:rFonts w:ascii="Times New Roman" w:hAnsi="Times New Roman"/>
          <w:b/>
          <w:b/>
          <w:sz w:val="24"/>
          <w:szCs w:val="24"/>
        </w:rPr>
      </w:pPr>
      <w:r>
        <w:rPr>
          <w:rFonts w:ascii="Times New Roman" w:hAnsi="Times New Roman"/>
          <w:b/>
          <w:sz w:val="24"/>
          <w:szCs w:val="24"/>
        </w:rPr>
        <w:t>Forma štúdia: denná</w:t>
      </w:r>
    </w:p>
    <w:p>
      <w:pPr>
        <w:pStyle w:val="Normal"/>
        <w:spacing w:lineRule="auto" w:line="240" w:before="0" w:after="0"/>
        <w:rPr>
          <w:rFonts w:ascii="Times New Roman" w:hAnsi="Times New Roman"/>
          <w:b/>
          <w:b/>
          <w:sz w:val="24"/>
          <w:szCs w:val="24"/>
        </w:rPr>
      </w:pPr>
      <w:r>
        <w:rPr>
          <w:rFonts w:ascii="Times New Roman" w:hAnsi="Times New Roman"/>
          <w:b/>
          <w:sz w:val="24"/>
          <w:szCs w:val="24"/>
        </w:rPr>
      </w:r>
    </w:p>
    <w:tbl>
      <w:tblPr>
        <w:tblW w:w="14115" w:type="dxa"/>
        <w:jc w:val="left"/>
        <w:tblInd w:w="0" w:type="dxa"/>
        <w:tblLayout w:type="fixed"/>
        <w:tblCellMar>
          <w:top w:w="0" w:type="dxa"/>
          <w:left w:w="108" w:type="dxa"/>
          <w:bottom w:w="0" w:type="dxa"/>
          <w:right w:w="108" w:type="dxa"/>
        </w:tblCellMar>
      </w:tblPr>
      <w:tblGrid>
        <w:gridCol w:w="2111"/>
        <w:gridCol w:w="2410"/>
        <w:gridCol w:w="756"/>
        <w:gridCol w:w="816"/>
        <w:gridCol w:w="1087"/>
        <w:gridCol w:w="885"/>
        <w:gridCol w:w="1832"/>
        <w:gridCol w:w="2709"/>
        <w:gridCol w:w="1507"/>
      </w:tblGrid>
      <w:tr>
        <w:trPr>
          <w:trHeight w:val="196" w:hRule="atLeast"/>
        </w:trPr>
        <w:tc>
          <w:tcPr>
            <w:tcW w:w="12606" w:type="dxa"/>
            <w:gridSpan w:val="8"/>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t xml:space="preserve">POVINNÉ PREDMETY </w:t>
            </w:r>
          </w:p>
        </w:tc>
        <w:tc>
          <w:tcPr>
            <w:tcW w:w="1507" w:type="dxa"/>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r>
          </w:p>
        </w:tc>
      </w:tr>
      <w:tr>
        <w:trPr>
          <w:trHeight w:val="196"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Kód predmetu</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Názov predmetu</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Kredity</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Rozsah</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Hodnotenie</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Semester</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Podmieňujúce predmety</w:t>
            </w:r>
          </w:p>
        </w:tc>
        <w:tc>
          <w:tcPr>
            <w:tcW w:w="2709"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Vyučujúci</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Profilový predmet</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i/>
                <w:i/>
                <w:sz w:val="16"/>
                <w:szCs w:val="16"/>
              </w:rPr>
            </w:pPr>
            <w:r>
              <w:rPr>
                <w:rFonts w:ascii="Times New Roman" w:hAnsi="Times New Roman"/>
                <w:i/>
                <w:sz w:val="16"/>
                <w:szCs w:val="16"/>
              </w:rPr>
              <w:t>1IHVU/V2B/DVU1/22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Dr.habil. Peter Kocák, PhD. akad. maliar</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1IHVU/V2B/TVU1/22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Teória výtvarného umenia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1IHVU/V2B/DVU2/22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1IHVU/V2B/LVM1/22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color w:val="000000"/>
                <w:sz w:val="16"/>
                <w:szCs w:val="16"/>
              </w:rPr>
            </w:pPr>
            <w:r>
              <w:rPr>
                <w:rFonts w:ascii="Times New Roman" w:hAnsi="Times New Roman"/>
                <w:bCs/>
                <w:i/>
                <w:color w:val="000000"/>
                <w:sz w:val="16"/>
                <w:szCs w:val="16"/>
              </w:rPr>
              <w:t>Laboratórium výtvarných médií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1IHVU/V2B/LVM2/22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color w:val="000000"/>
                <w:sz w:val="16"/>
                <w:szCs w:val="16"/>
              </w:rPr>
            </w:pPr>
            <w:r>
              <w:rPr>
                <w:rFonts w:ascii="Times New Roman" w:hAnsi="Times New Roman"/>
                <w:bCs/>
                <w:i/>
                <w:color w:val="000000"/>
                <w:sz w:val="16"/>
                <w:szCs w:val="16"/>
              </w:rPr>
              <w:t>Laboratórium výtvarných médií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1IHVU/V2B/TVU2/22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Teória výtvarného umenia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1IHVU/V2B/TVU1/22</w:t>
            </w:r>
          </w:p>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1IHVU/V2B/DVU1/22</w:t>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1IHVU/V2B/VAP1/22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Výtvarné aktivity v prírode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7 dní/ sem.</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Doc. Martin Zbojan, PhD., akad. maliar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1IHVU/V2B/DVU3/22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2P</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1IHVU/V2B/EDVU/22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iCs/>
                <w:sz w:val="16"/>
                <w:szCs w:val="16"/>
              </w:rPr>
            </w:pPr>
            <w:r>
              <w:rPr>
                <w:rFonts w:ascii="Times New Roman" w:hAnsi="Times New Roman"/>
                <w:i/>
                <w:iCs/>
                <w:sz w:val="16"/>
                <w:szCs w:val="16"/>
              </w:rPr>
              <w:t xml:space="preserve">Exkurzia Dejiny výtvarného umenia 3 </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 dní / sem.</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Maľba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1IHVU/V2B/DVU4/22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1IHVU/V2B/KAG3/22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1IHVU/V/2B/KAG2/22</w:t>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Dr.habil. Peter Kocák, PhD. akad. maliar</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1IHVU/V2B/MAL2/22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Maľba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 /MAL1/22</w:t>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1IHVU/V2B/DVU5/22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1IHVU/V2B/UDVV/22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sz w:val="16"/>
                <w:szCs w:val="16"/>
              </w:rPr>
            </w:pPr>
            <w:r>
              <w:rPr>
                <w:rFonts w:ascii="Times New Roman" w:hAnsi="Times New Roman"/>
                <w:bCs/>
                <w:i/>
                <w:sz w:val="16"/>
                <w:szCs w:val="16"/>
              </w:rPr>
              <w:t>Úvod do didaktiky výtvarnej výchovy</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 Art. Adam Macko, ArtD.</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1IHVU/V2B/ZDAT/22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 xml:space="preserve">Základy dokumentárnej a animovanej tvorby </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Mgr.art Vladimír Ganaj, ArtD.</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1IHVU/V2B/SBP1/22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Seminár k bakalárskej práci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rPr>
              <w:t xml:space="preserve">, PhD. </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1IHVU/V2B/DVU6/22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Dejiny výtvarného umenia 6</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8"/>
              </w:rPr>
            </w:pPr>
            <w:r>
              <w:rPr>
                <w:rFonts w:ascii="Times New Roman" w:hAnsi="Times New Roman"/>
                <w:i/>
                <w:sz w:val="16"/>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1IHVU/V2B/MAL3/22</w:t>
              <w:tab/>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Maľba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1IHVU/V2B/MAL2/22</w:t>
              <w:tab/>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1IHVU/V2B/SBP2/22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Seminár k bakalárskej práci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2606" w:type="dxa"/>
            <w:gridSpan w:val="8"/>
            <w:tcBorders>
              <w:top w:val="single" w:sz="4" w:space="0" w:color="000000"/>
              <w:left w:val="single" w:sz="12" w:space="0" w:color="000000"/>
              <w:bottom w:val="single" w:sz="4" w:space="0" w:color="000000"/>
              <w:right w:val="single" w:sz="12" w:space="0" w:color="000000"/>
            </w:tcBorders>
            <w:vAlign w:val="center"/>
          </w:tcPr>
          <w:p>
            <w:pPr>
              <w:pStyle w:val="Normal"/>
              <w:widowControl w:val="false"/>
              <w:spacing w:lineRule="auto" w:line="240" w:before="0" w:after="0"/>
              <w:rPr>
                <w:rFonts w:ascii="Times New Roman" w:hAnsi="Times New Roman"/>
                <w:b/>
                <w:b/>
                <w:i/>
                <w:i/>
                <w:sz w:val="20"/>
                <w:szCs w:val="20"/>
              </w:rPr>
            </w:pPr>
            <w:r>
              <w:rPr>
                <w:rFonts w:ascii="Times New Roman" w:hAnsi="Times New Roman"/>
                <w:b/>
                <w:i/>
                <w:sz w:val="20"/>
                <w:szCs w:val="20"/>
              </w:rPr>
              <w:t>POVINNÉ PEDAGOGICKÉ JEDNOTKY</w:t>
            </w:r>
          </w:p>
        </w:tc>
        <w:tc>
          <w:tcPr>
            <w:tcW w:w="1507" w:type="dxa"/>
            <w:tcBorders>
              <w:top w:val="single" w:sz="4" w:space="0" w:color="000000"/>
              <w:left w:val="single" w:sz="12"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b/>
                <w:b/>
                <w:i/>
                <w:i/>
                <w:sz w:val="20"/>
                <w:szCs w:val="20"/>
              </w:rPr>
            </w:pPr>
            <w:r>
              <w:rPr>
                <w:rFonts w:ascii="Times New Roman" w:hAnsi="Times New Roman"/>
                <w:b/>
                <w:i/>
                <w:sz w:val="20"/>
                <w:szCs w:val="20"/>
              </w:rPr>
            </w:r>
          </w:p>
        </w:tc>
      </w:tr>
      <w:tr>
        <w:trPr>
          <w:trHeight w:val="194"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1IHVU/V2B/ZP/22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Obhajoba bakalárskej práce</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ascii="Times New Roman" w:hAnsi="Times New Roman"/>
                <w:i/>
                <w:sz w:val="18"/>
                <w:szCs w:val="18"/>
              </w:rPr>
              <w:t>5+5</w:t>
            </w:r>
            <w:r>
              <w:rPr>
                <w:rFonts w:ascii="Times New Roman" w:hAnsi="Times New Roman"/>
                <w:i/>
                <w:sz w:val="18"/>
                <w:szCs w:val="18"/>
                <w:lang w:val="en-US"/>
              </w:rPr>
              <w:t>**</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ŠS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Skúšobná komisia schválená vedeckou radou FF</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410" w:hRule="atLeast"/>
        </w:trPr>
        <w:tc>
          <w:tcPr>
            <w:tcW w:w="211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1IHVU/V2B/ZS/22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 xml:space="preserve">Výtvarné umenie </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r>
          </w:p>
        </w:tc>
        <w:tc>
          <w:tcPr>
            <w:tcW w:w="1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ŠS</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9"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Skúšobná komisia schválená vedeckou radou FF</w:t>
            </w:r>
          </w:p>
        </w:tc>
        <w:tc>
          <w:tcPr>
            <w:tcW w:w="1507"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r>
    </w:tbl>
    <w:p>
      <w:pPr>
        <w:pStyle w:val="Normal"/>
        <w:rPr>
          <w:rFonts w:ascii="Times New Roman" w:hAnsi="Times New Roman"/>
          <w:i/>
          <w:i/>
        </w:rPr>
      </w:pPr>
      <w:r>
        <w:rPr>
          <w:rFonts w:ascii="Times New Roman" w:hAnsi="Times New Roman"/>
          <w:i/>
        </w:rPr>
        <w:t>* z dotácie spoločného učiteľského základu</w:t>
      </w:r>
    </w:p>
    <w:p>
      <w:pPr>
        <w:pStyle w:val="Normal"/>
        <w:rPr>
          <w:rFonts w:ascii="Times New Roman" w:hAnsi="Times New Roman"/>
          <w:i/>
          <w:i/>
        </w:rPr>
      </w:pPr>
      <w:r>
        <w:rPr>
          <w:rFonts w:ascii="Times New Roman" w:hAnsi="Times New Roman"/>
          <w:i/>
        </w:rPr>
        <w:t>** polovica kreditov sa ráta pre druhú aprobáciu</w:t>
      </w:r>
    </w:p>
    <w:tbl>
      <w:tblPr>
        <w:tblW w:w="14160" w:type="dxa"/>
        <w:jc w:val="left"/>
        <w:tblInd w:w="0" w:type="dxa"/>
        <w:tblLayout w:type="fixed"/>
        <w:tblCellMar>
          <w:top w:w="0" w:type="dxa"/>
          <w:left w:w="108" w:type="dxa"/>
          <w:bottom w:w="0" w:type="dxa"/>
          <w:right w:w="108" w:type="dxa"/>
        </w:tblCellMar>
      </w:tblPr>
      <w:tblGrid>
        <w:gridCol w:w="1761"/>
        <w:gridCol w:w="2304"/>
        <w:gridCol w:w="756"/>
        <w:gridCol w:w="933"/>
        <w:gridCol w:w="1086"/>
        <w:gridCol w:w="888"/>
        <w:gridCol w:w="2178"/>
        <w:gridCol w:w="2700"/>
        <w:gridCol w:w="1552"/>
      </w:tblGrid>
      <w:tr>
        <w:trPr>
          <w:trHeight w:val="196" w:hRule="atLeast"/>
        </w:trPr>
        <w:tc>
          <w:tcPr>
            <w:tcW w:w="12606" w:type="dxa"/>
            <w:gridSpan w:val="8"/>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t>POVINNE VOLITEĽNÉ PREDMETY  získať minimálne 10 kreditov</w:t>
            </w:r>
          </w:p>
          <w:p>
            <w:pPr>
              <w:pStyle w:val="Normal"/>
              <w:widowControl w:val="false"/>
              <w:spacing w:before="0" w:after="0"/>
              <w:rPr>
                <w:rFonts w:ascii="Times New Roman" w:hAnsi="Times New Roman"/>
                <w:b/>
                <w:b/>
                <w:i/>
                <w:i/>
                <w:sz w:val="20"/>
                <w:szCs w:val="20"/>
              </w:rPr>
            </w:pPr>
            <w:r>
              <w:rPr>
                <w:rFonts w:ascii="Times New Roman" w:hAnsi="Times New Roman"/>
                <w:b/>
                <w:i/>
                <w:sz w:val="20"/>
                <w:szCs w:val="20"/>
              </w:rPr>
              <w:t>Z povinne voliteľných predmetov si študent vyberá podľa vlastného uváženia a uvedených usmernení tak, aby dosiahol minimálne 10 kreditov</w:t>
            </w:r>
          </w:p>
        </w:tc>
        <w:tc>
          <w:tcPr>
            <w:tcW w:w="1552" w:type="dxa"/>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r>
          </w:p>
        </w:tc>
      </w:tr>
      <w:tr>
        <w:trPr>
          <w:trHeight w:val="139"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Kód predmetu</w:t>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Názov predmetu</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Kredity</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Rozsah</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Hodnotenie</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Semester</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Podmieňujúce predmety</w:t>
            </w:r>
          </w:p>
        </w:tc>
        <w:tc>
          <w:tcPr>
            <w:tcW w:w="2700"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Vyučujúci</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1/IHVU/V2B/KAG1/22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Dr.habil. Peter Kocák, PhD. akad. maliar</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1IHVU/V2B/ZDIZT1/22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Základy dizajnérskej tvorby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PH</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5.</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 art Vladimír Ganaj, ArtD.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1IHVU/V2B/VAP2/22</w:t>
              <w:tab/>
            </w:r>
          </w:p>
        </w:tc>
        <w:tc>
          <w:tcPr>
            <w:tcW w:w="23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Výtvarné aktivity v prírode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7 dní/ sem.</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Doc. Martin Zbojan, PhD., akad. maliar</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1IHVU/V2B/MOD1/22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iCs/>
                <w:color w:val="auto"/>
                <w:sz w:val="18"/>
                <w:szCs w:val="18"/>
              </w:rPr>
            </w:pPr>
            <w:r>
              <w:rPr>
                <w:rFonts w:ascii="Times New Roman" w:hAnsi="Times New Roman"/>
                <w:i/>
                <w:iCs/>
                <w:color w:val="auto"/>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iCs/>
                <w:sz w:val="18"/>
                <w:szCs w:val="18"/>
              </w:rPr>
            </w:pPr>
            <w:r>
              <w:rPr>
                <w:rFonts w:ascii="Times New Roman" w:hAnsi="Times New Roman"/>
                <w:i/>
                <w:iCs/>
                <w:sz w:val="18"/>
                <w:szCs w:val="18"/>
              </w:rPr>
              <w:t xml:space="preserve">PH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Ivana </w:t>
            </w:r>
            <w:r>
              <w:rPr>
                <w:rFonts w:eastAsia="Times New Roman" w:cs="Times New Roman" w:ascii="Times New Roman" w:hAnsi="Times New Roman"/>
                <w:i/>
                <w:color w:val="auto"/>
                <w:kern w:val="0"/>
                <w:sz w:val="16"/>
                <w:szCs w:val="22"/>
                <w:lang w:val="sk-SK" w:eastAsia="en-US" w:bidi="ar-SA"/>
              </w:rPr>
              <w:t>Židík, PhD.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1IHVU/V2B/MOD1/22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Ivana </w:t>
            </w:r>
            <w:r>
              <w:rPr>
                <w:rFonts w:eastAsia="Times New Roman" w:cs="Times New Roman" w:ascii="Times New Roman" w:hAnsi="Times New Roman"/>
                <w:i/>
                <w:color w:val="auto"/>
                <w:kern w:val="0"/>
                <w:sz w:val="16"/>
                <w:szCs w:val="22"/>
                <w:lang w:val="sk-SK" w:eastAsia="en-US" w:bidi="ar-SA"/>
              </w:rPr>
              <w:t>Židík, PhD.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1IHVU/V2B/MOD3/22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PH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1IHVU/V2B/MOD2/22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Ivana </w:t>
            </w:r>
            <w:r>
              <w:rPr>
                <w:rFonts w:eastAsia="Times New Roman" w:cs="Times New Roman" w:ascii="Times New Roman" w:hAnsi="Times New Roman"/>
                <w:i/>
                <w:color w:val="auto"/>
                <w:kern w:val="0"/>
                <w:sz w:val="16"/>
                <w:szCs w:val="22"/>
                <w:lang w:val="sk-SK" w:eastAsia="en-US" w:bidi="ar-SA"/>
              </w:rPr>
              <w:t>Židík, PhD.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1IHVU/V2B/MOD4/22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1IHVU/V2B/MOD3/22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Ivana </w:t>
            </w:r>
            <w:r>
              <w:rPr>
                <w:rFonts w:eastAsia="Times New Roman" w:cs="Times New Roman" w:ascii="Times New Roman" w:hAnsi="Times New Roman"/>
                <w:i/>
                <w:color w:val="auto"/>
                <w:kern w:val="0"/>
                <w:sz w:val="16"/>
                <w:szCs w:val="22"/>
                <w:lang w:val="sk-SK" w:eastAsia="en-US" w:bidi="ar-SA"/>
              </w:rPr>
              <w:t>Židík, PhD.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nie</w:t>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1IHVU/V2B/KAG4/22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Kresba a grafika 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iCs/>
                <w:sz w:val="16"/>
                <w:szCs w:val="16"/>
              </w:rPr>
            </w:pPr>
            <w:r>
              <w:rPr>
                <w:rFonts w:ascii="Times New Roman" w:hAnsi="Times New Roman"/>
                <w:i/>
                <w:iCs/>
                <w:sz w:val="16"/>
                <w:szCs w:val="16"/>
              </w:rPr>
              <w:t>1IHVU/V2B/KAG3/22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Peter Kocák, akad. mal., PhD.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áno</w:t>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1IHVU/V2B/ZA1/22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Základný Ateliér 1 (dizajn a intermédiá)</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i/>
                <w:i/>
                <w:sz w:val="16"/>
                <w:szCs w:val="16"/>
              </w:rPr>
            </w:pPr>
            <w:r>
              <w:rPr>
                <w:rFonts w:ascii="Times New Roman" w:hAnsi="Times New Roman"/>
                <w:i/>
                <w:sz w:val="16"/>
                <w:szCs w:val="16"/>
              </w:rPr>
              <w:t>1IHVU/V2B/LVM1/22,</w:t>
              <w:br/>
              <w:t>1IHVU/V2B/LVM2/22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Mgr.art Vladimír Ganaj, ArtD.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1IHVU/V2B/ZA2/22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Základný Ateliér 2 (dizajn a intermédiá)</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3S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S</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1IHVU/V2B/MOD5/22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Modelovanie 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1P/1S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1IHVU/V2B/MOD4/22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Ivana </w:t>
            </w:r>
            <w:r>
              <w:rPr>
                <w:rFonts w:eastAsia="Times New Roman" w:cs="Times New Roman" w:ascii="Times New Roman" w:hAnsi="Times New Roman"/>
                <w:i/>
                <w:color w:val="auto"/>
                <w:kern w:val="0"/>
                <w:sz w:val="16"/>
                <w:szCs w:val="22"/>
                <w:lang w:val="sk-SK" w:eastAsia="en-US" w:bidi="ar-SA"/>
              </w:rPr>
              <w:t>Židík, PhD.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r>
        <w:trPr>
          <w:trHeight w:val="194" w:hRule="atLeast"/>
        </w:trPr>
        <w:tc>
          <w:tcPr>
            <w:tcW w:w="1761"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Cs/>
                <w:i/>
                <w:i/>
                <w:sz w:val="16"/>
                <w:szCs w:val="16"/>
              </w:rPr>
            </w:pPr>
            <w:r>
              <w:rPr>
                <w:rFonts w:ascii="Times New Roman" w:hAnsi="Times New Roman"/>
                <w:bCs/>
                <w:i/>
                <w:sz w:val="16"/>
                <w:szCs w:val="16"/>
              </w:rPr>
              <w:t>1IHVU/V2B/ZDIZT2/22</w:t>
            </w:r>
          </w:p>
        </w:tc>
        <w:tc>
          <w:tcPr>
            <w:tcW w:w="2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sz w:val="16"/>
                <w:szCs w:val="16"/>
              </w:rPr>
            </w:pPr>
            <w:r>
              <w:rPr>
                <w:rFonts w:ascii="Times New Roman" w:hAnsi="Times New Roman"/>
                <w:bCs/>
                <w:i/>
                <w:sz w:val="16"/>
                <w:szCs w:val="16"/>
              </w:rPr>
              <w:t>Základy dizajnérskej tvorby 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 xml:space="preserve">S </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6.</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1IHVU/V2B/ZDIZT1/22</w:t>
            </w:r>
          </w:p>
        </w:tc>
        <w:tc>
          <w:tcPr>
            <w:tcW w:w="2700"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Mgr. art Vladimír Ganaj, ArtD.</w:t>
            </w:r>
          </w:p>
        </w:tc>
        <w:tc>
          <w:tcPr>
            <w:tcW w:w="1552"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r>
          </w:p>
        </w:tc>
      </w:tr>
    </w:tbl>
    <w:p>
      <w:pPr>
        <w:pStyle w:val="Normal"/>
        <w:rPr>
          <w:i/>
          <w:i/>
        </w:rPr>
      </w:pPr>
      <w:r>
        <w:rPr>
          <w:i/>
        </w:rPr>
      </w:r>
    </w:p>
    <w:tbl>
      <w:tblPr>
        <w:tblW w:w="14160" w:type="dxa"/>
        <w:jc w:val="left"/>
        <w:tblInd w:w="0" w:type="dxa"/>
        <w:tblLayout w:type="fixed"/>
        <w:tblCellMar>
          <w:top w:w="0" w:type="dxa"/>
          <w:left w:w="108" w:type="dxa"/>
          <w:bottom w:w="0" w:type="dxa"/>
          <w:right w:w="108" w:type="dxa"/>
        </w:tblCellMar>
      </w:tblPr>
      <w:tblGrid>
        <w:gridCol w:w="1809"/>
        <w:gridCol w:w="3261"/>
        <w:gridCol w:w="850"/>
        <w:gridCol w:w="851"/>
        <w:gridCol w:w="1134"/>
        <w:gridCol w:w="990"/>
        <w:gridCol w:w="2128"/>
        <w:gridCol w:w="3135"/>
      </w:tblGrid>
      <w:tr>
        <w:trPr>
          <w:trHeight w:val="196" w:hRule="atLeast"/>
        </w:trPr>
        <w:tc>
          <w:tcPr>
            <w:tcW w:w="14158" w:type="dxa"/>
            <w:gridSpan w:val="8"/>
            <w:tcBorders>
              <w:top w:val="single" w:sz="4" w:space="0" w:color="000000"/>
              <w:left w:val="single" w:sz="12" w:space="0" w:color="000000"/>
              <w:bottom w:val="single" w:sz="4" w:space="0" w:color="000000"/>
              <w:right w:val="single" w:sz="12" w:space="0" w:color="000000"/>
            </w:tcBorders>
          </w:tcPr>
          <w:p>
            <w:pPr>
              <w:pStyle w:val="Normal"/>
              <w:widowControl w:val="false"/>
              <w:spacing w:before="0" w:after="0"/>
              <w:rPr>
                <w:rFonts w:ascii="Times New Roman" w:hAnsi="Times New Roman"/>
                <w:b/>
                <w:b/>
                <w:i/>
                <w:i/>
                <w:sz w:val="20"/>
                <w:szCs w:val="20"/>
              </w:rPr>
            </w:pPr>
            <w:r>
              <w:rPr>
                <w:rFonts w:ascii="Times New Roman" w:hAnsi="Times New Roman"/>
                <w:b/>
                <w:i/>
                <w:sz w:val="20"/>
                <w:szCs w:val="20"/>
              </w:rPr>
              <w:t xml:space="preserve">VOLITEĽNÉ PREDMETY  </w:t>
            </w:r>
          </w:p>
          <w:p>
            <w:pPr>
              <w:pStyle w:val="Normal"/>
              <w:widowControl w:val="false"/>
              <w:spacing w:before="0" w:after="0"/>
              <w:rPr>
                <w:rFonts w:ascii="Times New Roman" w:hAnsi="Times New Roman"/>
                <w:b/>
                <w:b/>
                <w:i/>
                <w:i/>
                <w:sz w:val="20"/>
                <w:szCs w:val="20"/>
              </w:rPr>
            </w:pPr>
            <w:r>
              <w:rPr>
                <w:rFonts w:ascii="Times New Roman" w:hAnsi="Times New Roman"/>
                <w:b/>
                <w:i/>
                <w:sz w:val="20"/>
                <w:szCs w:val="20"/>
              </w:rPr>
              <w:t xml:space="preserve">Z voliteľných predmetov si študent vyberá podľa vlastného uváženia a uvedených usmernení tak, aby dosiahol maximálne 9 kreditov </w:t>
            </w:r>
          </w:p>
        </w:tc>
      </w:tr>
      <w:tr>
        <w:trPr>
          <w:trHeight w:val="196"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Kód predmetu</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Názov predmetu</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Kredity</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Rozsah</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Hodnotenie</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Semester</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Podmieňujúce predmety</w:t>
            </w:r>
          </w:p>
        </w:tc>
        <w:tc>
          <w:tcPr>
            <w:tcW w:w="3135"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0"/>
              <w:rPr>
                <w:rFonts w:ascii="Times New Roman" w:hAnsi="Times New Roman"/>
                <w:b/>
                <w:b/>
                <w:i/>
                <w:i/>
                <w:sz w:val="18"/>
                <w:szCs w:val="18"/>
              </w:rPr>
            </w:pPr>
            <w:r>
              <w:rPr>
                <w:rFonts w:ascii="Times New Roman" w:hAnsi="Times New Roman"/>
                <w:b/>
                <w:i/>
                <w:sz w:val="18"/>
                <w:szCs w:val="18"/>
              </w:rPr>
              <w:t>Vyučujúci</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1IHVU/V2B/FV1/22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i/>
                <w:i/>
                <w:color w:val="000000"/>
                <w:sz w:val="16"/>
                <w:szCs w:val="16"/>
              </w:rPr>
            </w:pPr>
            <w:r>
              <w:rPr>
                <w:rFonts w:ascii="Times New Roman" w:hAnsi="Times New Roman"/>
                <w:bCs/>
                <w:i/>
                <w:color w:val="000000"/>
                <w:sz w:val="16"/>
                <w:szCs w:val="16"/>
              </w:rPr>
              <w:t>Fotografia a video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PH</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1. – 6.</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3135"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rPr>
              <w:t xml:space="preserve">Mgr. Ivana </w:t>
            </w:r>
            <w:r>
              <w:rPr>
                <w:rFonts w:eastAsia="Times New Roman" w:cs="Times New Roman" w:ascii="Times New Roman" w:hAnsi="Times New Roman"/>
                <w:i/>
                <w:color w:val="auto"/>
                <w:kern w:val="0"/>
                <w:sz w:val="16"/>
                <w:szCs w:val="22"/>
                <w:lang w:val="sk-SK" w:eastAsia="en-US" w:bidi="ar-SA"/>
              </w:rPr>
              <w:t>Židík, PhD.</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1IHVU/V/ŠVUK/22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Študentská vedecká a umelecká konferencia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2., 4., 6.</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3135"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Skúšobná komisia schválená vedeckou radou FF</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pPr>
            <w:r>
              <w:rPr>
                <w:rStyle w:val="Emphasis"/>
                <w:rFonts w:ascii="Times New Roman" w:hAnsi="Times New Roman"/>
                <w:sz w:val="16"/>
                <w:szCs w:val="16"/>
              </w:rPr>
              <w:t>1IHVU/V2B/SA1/22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Startup atelíér 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4.</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8"/>
                <w:szCs w:val="18"/>
              </w:rPr>
            </w:pPr>
            <w:r>
              <w:rPr>
                <w:rFonts w:ascii="Times New Roman" w:hAnsi="Times New Roman"/>
                <w:i/>
                <w:sz w:val="18"/>
                <w:szCs w:val="18"/>
              </w:rPr>
            </w:r>
          </w:p>
        </w:tc>
        <w:tc>
          <w:tcPr>
            <w:tcW w:w="3135"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pPr>
            <w:r>
              <w:rPr>
                <w:rStyle w:val="Emphasis"/>
                <w:rFonts w:ascii="Times New Roman" w:hAnsi="Times New Roman"/>
                <w:sz w:val="16"/>
                <w:szCs w:val="16"/>
              </w:rPr>
              <w:t>1IHVU/V2B/SA</w:t>
            </w:r>
            <w:r>
              <w:rPr>
                <w:rStyle w:val="Emphasis"/>
                <w:rFonts w:ascii="Times New Roman" w:hAnsi="Times New Roman"/>
                <w:i w:val="false"/>
                <w:iCs w:val="false"/>
                <w:sz w:val="16"/>
                <w:szCs w:val="16"/>
                <w:lang w:eastAsia="sk-SK"/>
              </w:rPr>
              <w:t>2</w:t>
            </w:r>
            <w:r>
              <w:rPr>
                <w:rStyle w:val="Emphasis"/>
                <w:rFonts w:ascii="Times New Roman" w:hAnsi="Times New Roman"/>
                <w:sz w:val="16"/>
                <w:szCs w:val="16"/>
              </w:rPr>
              <w:t>/22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t>Startup atelíér 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2S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5.</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pPr>
            <w:r>
              <w:rPr>
                <w:rStyle w:val="Emphasis"/>
                <w:rFonts w:ascii="Times New Roman" w:hAnsi="Times New Roman"/>
                <w:sz w:val="16"/>
                <w:szCs w:val="16"/>
              </w:rPr>
              <w:t>1IHVU/V2B/SA1/22</w:t>
            </w:r>
          </w:p>
        </w:tc>
        <w:tc>
          <w:tcPr>
            <w:tcW w:w="3135"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rFonts w:ascii="Times New Roman" w:hAnsi="Times New Roman"/>
                <w:i/>
                <w:i/>
                <w:sz w:val="16"/>
              </w:rPr>
            </w:pPr>
            <w:r>
              <w:rPr>
                <w:rFonts w:ascii="Times New Roman" w:hAnsi="Times New Roman"/>
                <w:i/>
                <w:sz w:val="16"/>
              </w:rPr>
              <w:t xml:space="preserve">Mgr.art Vladimír Ganaj, ArtD.                            </w:t>
            </w:r>
          </w:p>
        </w:tc>
      </w:tr>
      <w:tr>
        <w:trPr>
          <w:trHeight w:val="194" w:hRule="atLeast"/>
        </w:trPr>
        <w:tc>
          <w:tcPr>
            <w:tcW w:w="1809" w:type="dxa"/>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lineRule="auto" w:line="240" w:before="0" w:after="0"/>
              <w:rPr/>
            </w:pPr>
            <w:r>
              <w:rPr>
                <w:rStyle w:val="Fontstyle01"/>
                <w:rFonts w:ascii="Times New Roman" w:hAnsi="Times New Roman"/>
                <w:i/>
                <w:sz w:val="16"/>
                <w:szCs w:val="16"/>
              </w:rPr>
              <w:t>1IHVU/V/KDUVS/22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Style w:val="Fontstyle01"/>
                <w:rFonts w:ascii="Times New Roman" w:hAnsi="Times New Roman"/>
                <w:i/>
                <w:sz w:val="16"/>
                <w:szCs w:val="16"/>
              </w:rPr>
              <w:t>Kapitoly z dejín umenia východného</w:t>
            </w:r>
            <w:r>
              <w:rPr>
                <w:rFonts w:ascii="Times New Roman" w:hAnsi="Times New Roman"/>
                <w:b/>
                <w:bCs/>
                <w:i/>
                <w:color w:val="000000"/>
                <w:sz w:val="16"/>
                <w:szCs w:val="16"/>
              </w:rPr>
              <w:t xml:space="preserve"> </w:t>
            </w:r>
            <w:r>
              <w:rPr>
                <w:rStyle w:val="Fontstyle01"/>
                <w:rFonts w:ascii="Times New Roman" w:hAnsi="Times New Roman"/>
                <w:i/>
                <w:sz w:val="16"/>
                <w:szCs w:val="16"/>
              </w:rPr>
              <w:t>Slovenska</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2S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8"/>
                <w:szCs w:val="18"/>
              </w:rPr>
            </w:pPr>
            <w:r>
              <w:rPr>
                <w:rFonts w:ascii="Times New Roman" w:hAnsi="Times New Roman"/>
                <w:i/>
                <w:sz w:val="18"/>
                <w:szCs w:val="18"/>
              </w:rPr>
              <w:t>A</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6"/>
                <w:szCs w:val="16"/>
              </w:rPr>
              <w:t>1.- 6.</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i/>
                <w:i/>
                <w:sz w:val="16"/>
                <w:szCs w:val="16"/>
              </w:rPr>
            </w:pPr>
            <w:r>
              <w:rPr>
                <w:rFonts w:ascii="Times New Roman" w:hAnsi="Times New Roman"/>
                <w:i/>
                <w:sz w:val="16"/>
                <w:szCs w:val="16"/>
              </w:rPr>
            </w:r>
          </w:p>
        </w:tc>
        <w:tc>
          <w:tcPr>
            <w:tcW w:w="3135" w:type="dxa"/>
            <w:tcBorders>
              <w:top w:val="single" w:sz="4" w:space="0" w:color="000000"/>
              <w:left w:val="single" w:sz="4" w:space="0" w:color="000000"/>
              <w:bottom w:val="single" w:sz="4" w:space="0" w:color="000000"/>
              <w:right w:val="single" w:sz="12" w:space="0" w:color="000000"/>
            </w:tcBorders>
          </w:tcPr>
          <w:p>
            <w:pPr>
              <w:pStyle w:val="Normal"/>
              <w:widowControl w:val="false"/>
              <w:spacing w:lineRule="auto" w:line="240" w:before="0" w:after="0"/>
              <w:rPr/>
            </w:pPr>
            <w:r>
              <w:rPr>
                <w:rFonts w:ascii="Times New Roman" w:hAnsi="Times New Roman"/>
                <w:i/>
                <w:sz w:val="16"/>
                <w:szCs w:val="16"/>
              </w:rPr>
              <w:t>Mgr. Katar</w:t>
            </w:r>
            <w:r>
              <w:rPr>
                <w:rFonts w:eastAsia="Times New Roman" w:cs="Times New Roman" w:ascii="Times New Roman" w:hAnsi="Times New Roman"/>
                <w:i/>
                <w:color w:val="auto"/>
                <w:kern w:val="0"/>
                <w:sz w:val="16"/>
                <w:szCs w:val="22"/>
                <w:lang w:val="sk-SK" w:eastAsia="en-US" w:bidi="ar-SA"/>
              </w:rPr>
              <w:t>ína Šantová</w:t>
            </w:r>
            <w:r>
              <w:rPr>
                <w:rFonts w:ascii="Times New Roman" w:hAnsi="Times New Roman"/>
                <w:i/>
                <w:sz w:val="16"/>
                <w:szCs w:val="16"/>
              </w:rPr>
              <w:t xml:space="preserve">, PhD. </w:t>
            </w:r>
          </w:p>
        </w:tc>
      </w:tr>
    </w:tbl>
    <w:p>
      <w:pPr>
        <w:pStyle w:val="Normal"/>
        <w:rPr>
          <w:i/>
          <w:i/>
        </w:rPr>
      </w:pPr>
      <w:r>
        <w:rPr>
          <w:i/>
        </w:rPr>
      </w:r>
    </w:p>
    <w:p>
      <w:pPr>
        <w:pStyle w:val="Normal"/>
        <w:rPr/>
      </w:pPr>
      <w:r>
        <w:rPr/>
      </w:r>
    </w:p>
    <w:p>
      <w:pPr>
        <w:pStyle w:val="Normal"/>
        <w:spacing w:lineRule="auto" w:line="271"/>
        <w:jc w:val="both"/>
        <w:rPr>
          <w:rFonts w:ascii="Times New Roman" w:hAnsi="Times New Roman"/>
          <w:sz w:val="24"/>
          <w:szCs w:val="24"/>
        </w:rPr>
      </w:pPr>
      <w:r>
        <w:rPr>
          <w:rFonts w:ascii="Times New Roman" w:hAnsi="Times New Roman"/>
          <w:sz w:val="24"/>
          <w:szCs w:val="24"/>
        </w:rPr>
        <w:t xml:space="preserve">Študent za svoje štúdium získa 53 kreditov za povinné predmety z časti učiteľského kombinačného študijného programu (aprobácia výtvarné umenie), čo je 73,6 % zo 72 kreditov aprobácie.  </w:t>
      </w:r>
    </w:p>
    <w:p>
      <w:pPr>
        <w:pStyle w:val="Normal"/>
        <w:spacing w:lineRule="auto" w:line="271"/>
        <w:jc w:val="both"/>
        <w:rPr/>
      </w:pPr>
      <w:r>
        <w:rPr>
          <w:rFonts w:ascii="Times New Roman" w:hAnsi="Times New Roman"/>
          <w:sz w:val="24"/>
          <w:szCs w:val="24"/>
        </w:rPr>
        <w:t>Odporúčaný študijný program ponúka možnosť zapísať si povinne voliteľné predmety z ponuky časti učiteľského kombinačného študijného programu (za aprobáciu výtvarné umenie) za najmenej 10</w:t>
      </w:r>
      <w:bookmarkStart w:id="2" w:name="_GoBack"/>
      <w:bookmarkEnd w:id="2"/>
      <w:r>
        <w:rPr>
          <w:rFonts w:ascii="Times New Roman" w:hAnsi="Times New Roman"/>
          <w:sz w:val="24"/>
          <w:szCs w:val="24"/>
        </w:rPr>
        <w:t xml:space="preserve"> kreditov z 28 možných kreditov.</w:t>
      </w:r>
    </w:p>
    <w:p>
      <w:pPr>
        <w:pStyle w:val="Normal"/>
        <w:spacing w:lineRule="auto" w:line="271"/>
        <w:jc w:val="both"/>
        <w:rPr>
          <w:rFonts w:ascii="Times New Roman" w:hAnsi="Times New Roman"/>
          <w:sz w:val="24"/>
          <w:szCs w:val="24"/>
        </w:rPr>
      </w:pPr>
      <w:r>
        <w:rPr>
          <w:rFonts w:ascii="Times New Roman" w:hAnsi="Times New Roman"/>
          <w:sz w:val="24"/>
          <w:szCs w:val="24"/>
        </w:rPr>
        <w:t>Odporúčaný študijný program ponúka možnosť zapísať si aj voliteľné predmety za  12 kreditov,  max. 9 kreditov za kombináciu.</w:t>
      </w:r>
    </w:p>
    <w:p>
      <w:pPr>
        <w:pStyle w:val="Normal"/>
        <w:spacing w:lineRule="auto" w:line="271" w:before="0" w:after="0"/>
        <w:jc w:val="both"/>
        <w:rPr>
          <w:rFonts w:ascii="Times New Roman" w:hAnsi="Times New Roman"/>
          <w:b/>
          <w:b/>
          <w:i/>
          <w:i/>
          <w:sz w:val="24"/>
          <w:szCs w:val="24"/>
        </w:rPr>
      </w:pPr>
      <w:r>
        <w:rPr>
          <w:rFonts w:ascii="Times New Roman" w:hAnsi="Times New Roman"/>
          <w:b/>
          <w:i/>
          <w:sz w:val="24"/>
          <w:szCs w:val="24"/>
        </w:rPr>
      </w:r>
    </w:p>
    <w:p>
      <w:pPr>
        <w:pStyle w:val="Normal"/>
        <w:rPr/>
      </w:pPr>
      <w:r>
        <w:rPr/>
      </w:r>
      <w:r>
        <w:br w:type="page"/>
      </w:r>
    </w:p>
    <w:p>
      <w:pPr>
        <w:pStyle w:val="Normal"/>
        <w:rPr/>
      </w:pPr>
      <w:r>
        <w:rPr/>
      </w:r>
    </w:p>
    <w:p>
      <w:pPr>
        <w:pStyle w:val="ListParagraph"/>
        <w:numPr>
          <w:ilvl w:val="0"/>
          <w:numId w:val="3"/>
        </w:numPr>
        <w:spacing w:lineRule="auto" w:line="240" w:before="0" w:after="0"/>
        <w:ind w:left="360" w:right="0" w:hanging="360"/>
        <w:contextualSpacing/>
        <w:jc w:val="both"/>
        <w:rPr>
          <w:rFonts w:cs="Calibri"/>
          <w:i/>
          <w:i/>
          <w:iCs/>
          <w:color w:val="0D0D0D"/>
          <w:sz w:val="16"/>
          <w:szCs w:val="16"/>
        </w:rPr>
      </w:pPr>
      <w:r>
        <w:rPr>
          <w:rFonts w:cs="Calibri"/>
          <w:i/>
          <w:iCs/>
          <w:color w:val="0D0D0D"/>
          <w:sz w:val="16"/>
          <w:szCs w:val="16"/>
        </w:rPr>
        <w:t xml:space="preserve">Vysoká škola uvedie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w:t>
      </w:r>
    </w:p>
    <w:p>
      <w:pPr>
        <w:pStyle w:val="Normal"/>
        <w:spacing w:lineRule="auto" w:line="240" w:before="0" w:after="0"/>
        <w:ind w:left="709" w:right="0" w:hanging="0"/>
        <w:jc w:val="both"/>
        <w:rPr>
          <w:i/>
          <w:i/>
          <w:iCs/>
          <w:color w:val="000000"/>
          <w:sz w:val="16"/>
          <w:szCs w:val="16"/>
        </w:rPr>
      </w:pPr>
      <w:r>
        <w:rPr>
          <w:i/>
          <w:iCs/>
          <w:color w:val="000000"/>
          <w:sz w:val="16"/>
          <w:szCs w:val="16"/>
        </w:rPr>
        <w:t>Študent je povinný v študijnom programe získať potrebný počet kreditov, ktorých rozloženie a celkový počet je určený akreditovaným študijným programom. Štandardná záťaž študenta za celý akademický rok je vyjadrená počtom 60 kreditov, za semester 30 kreditov. Počet kreditov, ktorých dosiahnutie je podmienkou riadneho skončenia štúdia, pre študijný program druhého stupňa so štandardnou dĺžkou štúdia je najmenej 120 kreditov. Štúdium podľa študijného poriadku nesmie presiahnuť jeho štandardnú dĺžku o viac ako dva roky.</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 </w:t>
      </w:r>
    </w:p>
    <w:p>
      <w:pPr>
        <w:pStyle w:val="Normal"/>
        <w:spacing w:lineRule="auto" w:line="240" w:before="0" w:after="0"/>
        <w:ind w:left="709" w:right="0" w:hanging="0"/>
        <w:jc w:val="both"/>
        <w:rPr>
          <w:i/>
          <w:i/>
          <w:iCs/>
          <w:color w:val="000000"/>
          <w:sz w:val="16"/>
          <w:szCs w:val="16"/>
        </w:rPr>
      </w:pPr>
      <w:r>
        <w:rPr>
          <w:i/>
          <w:iCs/>
          <w:color w:val="000000"/>
          <w:sz w:val="16"/>
          <w:szCs w:val="16"/>
        </w:rPr>
        <w:t>Všetky informácie požadované v bode d) uvádzajú články 10 až 22 Študijného poriadku PU v Prešove z r. 2018.</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Odkaz: https://www.unipo.sk/public/media/0190/STUD%2024.9.18%20pdf.pdf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 </w:t>
      </w:r>
    </w:p>
    <w:p>
      <w:pPr>
        <w:pStyle w:val="Normal"/>
        <w:spacing w:lineRule="auto" w:line="240" w:before="0" w:after="0"/>
        <w:ind w:left="709" w:right="0" w:hanging="0"/>
        <w:jc w:val="both"/>
        <w:rPr/>
      </w:pPr>
      <w:r>
        <w:rPr>
          <w:i/>
          <w:iCs/>
          <w:color w:val="000000"/>
          <w:sz w:val="16"/>
          <w:szCs w:val="16"/>
        </w:rPr>
        <w:t xml:space="preserve">Za obsah študijného programu zodpovedá garant príslušného študijného programu. Študijný program, vrátane obsahu, je posudzovaný Radou pre kvalitu FF PU, jeho finálna verzia aj Radou pre vnútorný systém kvality PU v Prešove. V súlade s odporúčaným študijným programom študent získa 40 kreditov za povinné predmety za aprobáciu. Skladba predmetov študijných programov na PU je spravidla </w:t>
      </w:r>
      <w:bookmarkStart w:id="3" w:name="_Hlk92129858"/>
      <w:r>
        <w:rPr>
          <w:i/>
          <w:iCs/>
          <w:color w:val="000000"/>
          <w:sz w:val="16"/>
          <w:szCs w:val="16"/>
        </w:rPr>
        <w:t>70-80% povinné, 10-15%</w:t>
      </w:r>
      <w:bookmarkEnd w:id="3"/>
      <w:r>
        <w:rPr>
          <w:i/>
          <w:iCs/>
          <w:color w:val="000000"/>
          <w:sz w:val="16"/>
          <w:szCs w:val="16"/>
        </w:rPr>
        <w:t xml:space="preserve"> povinne voliteľné a max. 5% výberové predmety.</w:t>
      </w:r>
    </w:p>
    <w:p>
      <w:pPr>
        <w:pStyle w:val="ListParagraph"/>
        <w:spacing w:lineRule="auto" w:line="240" w:before="0" w:after="0"/>
        <w:ind w:left="360" w:right="0" w:hanging="0"/>
        <w:contextualSpacing/>
        <w:jc w:val="both"/>
        <w:rPr>
          <w:rFonts w:cs="Calibri"/>
          <w:color w:val="0D0D0D"/>
          <w:sz w:val="16"/>
          <w:szCs w:val="16"/>
        </w:rPr>
      </w:pPr>
      <w:r>
        <w:rPr>
          <w:rFonts w:cs="Calibri"/>
          <w:color w:val="0D0D0D"/>
          <w:sz w:val="16"/>
          <w:szCs w:val="16"/>
        </w:rPr>
      </w:r>
    </w:p>
    <w:p>
      <w:pPr>
        <w:pStyle w:val="ListParagraph"/>
        <w:numPr>
          <w:ilvl w:val="0"/>
          <w:numId w:val="3"/>
        </w:numPr>
        <w:spacing w:lineRule="auto" w:line="240" w:before="0" w:after="0"/>
        <w:ind w:left="360" w:right="0" w:hanging="360"/>
        <w:contextualSpacing/>
        <w:jc w:val="both"/>
        <w:rPr>
          <w:rFonts w:cs="Calibri"/>
          <w:i/>
          <w:i/>
          <w:iCs/>
          <w:sz w:val="16"/>
          <w:szCs w:val="16"/>
        </w:rPr>
      </w:pPr>
      <w:r>
        <w:rPr>
          <w:rFonts w:cs="Calibri"/>
          <w:i/>
          <w:iCs/>
          <w:sz w:val="16"/>
          <w:szCs w:val="16"/>
        </w:rPr>
        <w:t xml:space="preserve">Vysoká škola pre jednotlivé študijné plány uvedie podmienky absolvovania jednotlivých častí študijného programu a postup študenta v študijnom programe v štruktúre: </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t xml:space="preserve">          </w:t>
      </w:r>
    </w:p>
    <w:p>
      <w:pPr>
        <w:pStyle w:val="ListParagraph"/>
        <w:numPr>
          <w:ilvl w:val="0"/>
          <w:numId w:val="17"/>
        </w:numPr>
        <w:spacing w:lineRule="auto" w:line="240" w:before="0" w:after="0"/>
        <w:ind w:left="720" w:right="0" w:hanging="360"/>
        <w:contextualSpacing/>
        <w:jc w:val="both"/>
        <w:rPr/>
      </w:pPr>
      <w:r>
        <w:rPr>
          <w:rFonts w:cs="Calibri"/>
          <w:bCs/>
          <w:i/>
          <w:iCs/>
          <w:color w:val="000000"/>
          <w:sz w:val="16"/>
          <w:szCs w:val="16"/>
        </w:rPr>
        <w:t>počet kreditov za povinné predmety potrebných na riadne skončenie štúdia/ ukončenie časti štúdia:</w:t>
      </w:r>
      <w:r>
        <w:rPr>
          <w:rFonts w:cs="Calibri"/>
          <w:bCs/>
          <w:i/>
          <w:iCs/>
          <w:sz w:val="16"/>
          <w:szCs w:val="16"/>
        </w:rPr>
        <w:t xml:space="preserve"> </w:t>
      </w:r>
      <w:r>
        <w:rPr>
          <w:rFonts w:cs="Calibri"/>
          <w:bCs/>
          <w:i/>
          <w:iCs/>
          <w:sz w:val="16"/>
          <w:szCs w:val="16"/>
          <w:shd w:fill="FFFF00" w:val="clear"/>
        </w:rPr>
        <w:t>53</w:t>
      </w:r>
    </w:p>
    <w:p>
      <w:pPr>
        <w:pStyle w:val="ListParagraph"/>
        <w:numPr>
          <w:ilvl w:val="0"/>
          <w:numId w:val="17"/>
        </w:numPr>
        <w:spacing w:lineRule="auto" w:line="240" w:before="0" w:after="0"/>
        <w:ind w:left="720" w:right="0" w:hanging="360"/>
        <w:contextualSpacing/>
        <w:jc w:val="both"/>
        <w:rPr/>
      </w:pPr>
      <w:r>
        <w:rPr>
          <w:rFonts w:cs="Calibri"/>
          <w:bCs/>
          <w:i/>
          <w:iCs/>
          <w:color w:val="000000"/>
          <w:sz w:val="16"/>
          <w:szCs w:val="16"/>
        </w:rPr>
        <w:t xml:space="preserve">počet kreditov za povinne voliteľné predmety potrebných na riadne skončenie štúdia/ ukončenie časti štúdia: min. </w:t>
      </w:r>
      <w:r>
        <w:rPr>
          <w:rFonts w:cs="Calibri"/>
          <w:bCs/>
          <w:i/>
          <w:iCs/>
          <w:color w:val="000000"/>
          <w:sz w:val="16"/>
          <w:szCs w:val="16"/>
          <w:shd w:fill="FF0000" w:val="clear"/>
        </w:rPr>
        <w:t>7</w:t>
      </w:r>
      <w:r>
        <w:rPr>
          <w:rFonts w:cs="Calibri"/>
          <w:bCs/>
          <w:i/>
          <w:iCs/>
          <w:color w:val="000000"/>
          <w:sz w:val="16"/>
          <w:szCs w:val="16"/>
        </w:rPr>
        <w:t xml:space="preserve"> z výberu predmetov z </w:t>
      </w:r>
      <w:r>
        <w:rPr>
          <w:rFonts w:cs="Calibri"/>
          <w:bCs/>
          <w:i/>
          <w:iCs/>
          <w:color w:val="000000"/>
          <w:sz w:val="16"/>
          <w:szCs w:val="16"/>
          <w:shd w:fill="FFFF00" w:val="clear"/>
        </w:rPr>
        <w:t>24</w:t>
      </w:r>
      <w:r>
        <w:rPr>
          <w:rFonts w:cs="Calibri"/>
          <w:bCs/>
          <w:i/>
          <w:iCs/>
          <w:color w:val="000000"/>
          <w:sz w:val="16"/>
          <w:szCs w:val="16"/>
        </w:rPr>
        <w:t xml:space="preserve"> kreditov</w:t>
      </w:r>
    </w:p>
    <w:p>
      <w:pPr>
        <w:pStyle w:val="ListParagraph"/>
        <w:numPr>
          <w:ilvl w:val="0"/>
          <w:numId w:val="17"/>
        </w:numPr>
        <w:spacing w:lineRule="auto" w:line="240" w:before="0" w:after="0"/>
        <w:ind w:left="720" w:right="0" w:hanging="360"/>
        <w:contextualSpacing/>
        <w:jc w:val="both"/>
        <w:rPr/>
      </w:pPr>
      <w:r>
        <w:rPr>
          <w:rFonts w:cs="Calibri"/>
          <w:bCs/>
          <w:i/>
          <w:iCs/>
          <w:color w:val="000000"/>
          <w:sz w:val="16"/>
          <w:szCs w:val="16"/>
        </w:rPr>
        <w:t xml:space="preserve">počet kreditov za výberové predmety potrebných na riadne skončenie štúdia/ ukončenie časti štúdia: max. </w:t>
      </w:r>
      <w:r>
        <w:rPr>
          <w:rFonts w:cs="Calibri"/>
          <w:bCs/>
          <w:i/>
          <w:iCs/>
          <w:color w:val="000000"/>
          <w:sz w:val="16"/>
          <w:szCs w:val="16"/>
          <w:shd w:fill="FF0000" w:val="clear"/>
        </w:rPr>
        <w:t>6</w:t>
      </w:r>
    </w:p>
    <w:p>
      <w:pPr>
        <w:pStyle w:val="Normal"/>
        <w:spacing w:lineRule="auto" w:line="240" w:before="0" w:after="0"/>
        <w:ind w:left="709" w:right="0" w:hanging="0"/>
        <w:jc w:val="both"/>
        <w:rPr>
          <w:i/>
          <w:i/>
          <w:iCs/>
          <w:color w:val="000000"/>
          <w:sz w:val="16"/>
          <w:szCs w:val="16"/>
        </w:rPr>
      </w:pPr>
      <w:r>
        <w:rPr>
          <w:i/>
          <w:iCs/>
          <w:color w:val="000000"/>
          <w:sz w:val="16"/>
          <w:szCs w:val="16"/>
        </w:rPr>
        <w:t>V zmysle Študijného poriadku PU (čl. 13) si  študent si zapisuje výberové predmety tak, aby súčet ich kreditovej dotácie tvoril maximálne 5 % z celkového počtu kreditov (v druhom stupni štúdia max. 6 kreditov), ktorých dosiahnutie je podmienkou riadneho skončenia štúdia. Výberové predmety absolvované, resp. uznané nad počet 5% sa do počtu kreditov potrebných pre riadne skončenie štúdia nezarátajú. Všetky absolvované predmety sa uvádzajú v dodatku k diplomu.</w:t>
      </w:r>
    </w:p>
    <w:p>
      <w:pPr>
        <w:pStyle w:val="ListParagraph"/>
        <w:numPr>
          <w:ilvl w:val="0"/>
          <w:numId w:val="17"/>
        </w:numPr>
        <w:spacing w:lineRule="auto" w:line="240" w:before="0" w:after="0"/>
        <w:ind w:left="720" w:right="0" w:hanging="360"/>
        <w:contextualSpacing/>
        <w:jc w:val="both"/>
        <w:rPr/>
      </w:pPr>
      <w:r>
        <w:rPr>
          <w:rFonts w:cs="Calibri"/>
          <w:bCs/>
          <w:i/>
          <w:iCs/>
          <w:color w:val="000000"/>
          <w:sz w:val="16"/>
          <w:szCs w:val="16"/>
        </w:rPr>
        <w:t xml:space="preserve">počet kreditov potrebných na skončenie štúdia/ukončenie časti štúdia za spoločný základ a za príslušnú aprobáciu, ak ide o učiteľský kombinačný študijný program, alebo prekladateľský kombinačný študijný program: </w:t>
      </w:r>
      <w:r>
        <w:rPr>
          <w:rFonts w:cs="Calibri"/>
          <w:bCs/>
          <w:i/>
          <w:iCs/>
          <w:color w:val="000000"/>
          <w:sz w:val="16"/>
          <w:szCs w:val="16"/>
          <w:shd w:fill="FFFF00" w:val="clear"/>
        </w:rPr>
        <w:t>72</w:t>
      </w:r>
    </w:p>
    <w:p>
      <w:pPr>
        <w:pStyle w:val="ListParagraph"/>
        <w:numPr>
          <w:ilvl w:val="0"/>
          <w:numId w:val="17"/>
        </w:numPr>
        <w:spacing w:lineRule="auto" w:line="240" w:before="0" w:after="0"/>
        <w:ind w:left="720" w:right="0" w:hanging="360"/>
        <w:contextualSpacing/>
        <w:jc w:val="both"/>
        <w:rPr/>
      </w:pPr>
      <w:r>
        <w:rPr>
          <w:rFonts w:cs="Calibri"/>
          <w:bCs/>
          <w:i/>
          <w:iCs/>
          <w:color w:val="000000"/>
          <w:sz w:val="16"/>
          <w:szCs w:val="16"/>
        </w:rPr>
        <w:t xml:space="preserve">počet kreditov za záverečnú prácu a obhajobu záverečnej práce potrebných na riadne skončenie štúdia: </w:t>
      </w:r>
      <w:r>
        <w:rPr>
          <w:rFonts w:cs="Calibri"/>
          <w:bCs/>
          <w:i/>
          <w:iCs/>
          <w:color w:val="000000"/>
          <w:sz w:val="16"/>
          <w:szCs w:val="16"/>
          <w:shd w:fill="FFFF00" w:val="clear"/>
        </w:rPr>
        <w:t>10</w:t>
      </w:r>
      <w:r>
        <w:rPr>
          <w:rFonts w:cs="Calibri"/>
          <w:bCs/>
          <w:i/>
          <w:iCs/>
          <w:color w:val="000000"/>
          <w:sz w:val="16"/>
          <w:szCs w:val="16"/>
        </w:rPr>
        <w:t>/</w:t>
      </w:r>
      <w:r>
        <w:rPr>
          <w:rFonts w:cs="Calibri"/>
          <w:bCs/>
          <w:i/>
          <w:iCs/>
          <w:color w:val="000000"/>
          <w:sz w:val="16"/>
          <w:szCs w:val="16"/>
          <w:shd w:fill="FF0000" w:val="clear"/>
        </w:rPr>
        <w:t>120</w:t>
      </w:r>
    </w:p>
    <w:p>
      <w:pPr>
        <w:pStyle w:val="ListParagraph"/>
        <w:numPr>
          <w:ilvl w:val="0"/>
          <w:numId w:val="17"/>
        </w:numPr>
        <w:spacing w:lineRule="auto" w:line="240" w:before="0" w:after="0"/>
        <w:ind w:left="720" w:right="0" w:hanging="360"/>
        <w:contextualSpacing/>
        <w:jc w:val="both"/>
        <w:rPr/>
      </w:pPr>
      <w:r>
        <w:rPr>
          <w:rFonts w:cs="Calibri"/>
          <w:bCs/>
          <w:i/>
          <w:iCs/>
          <w:color w:val="000000"/>
          <w:sz w:val="16"/>
          <w:szCs w:val="16"/>
        </w:rPr>
        <w:t xml:space="preserve">počet kreditov za odbornú prax potrebných na riadne skončenie štúdia/ukončenie časti štúdia: </w:t>
      </w:r>
      <w:r>
        <w:rPr>
          <w:rFonts w:cs="Calibri"/>
          <w:bCs/>
          <w:i/>
          <w:iCs/>
          <w:color w:val="000000"/>
          <w:sz w:val="16"/>
          <w:szCs w:val="16"/>
          <w:shd w:fill="FF0000" w:val="clear"/>
        </w:rPr>
        <w:t>7 kreditov za aprobáciu/14 za dve aprobácie/120</w:t>
      </w:r>
    </w:p>
    <w:p>
      <w:pPr>
        <w:pStyle w:val="ListParagraph"/>
        <w:numPr>
          <w:ilvl w:val="0"/>
          <w:numId w:val="17"/>
        </w:numPr>
        <w:spacing w:lineRule="auto" w:line="240" w:before="0" w:after="0"/>
        <w:ind w:left="720" w:right="0" w:hanging="360"/>
        <w:contextualSpacing/>
        <w:jc w:val="both"/>
        <w:rPr>
          <w:rFonts w:cs="Calibri"/>
          <w:bCs/>
          <w:i/>
          <w:i/>
          <w:iCs/>
          <w:color w:val="000000"/>
          <w:sz w:val="16"/>
          <w:szCs w:val="16"/>
        </w:rPr>
      </w:pPr>
      <w:r>
        <w:rPr>
          <w:rFonts w:cs="Calibri"/>
          <w:bCs/>
          <w:i/>
          <w:iCs/>
          <w:color w:val="000000"/>
          <w:sz w:val="16"/>
          <w:szCs w:val="16"/>
        </w:rPr>
        <w:t>počet kreditov potrebných na riadne skončenie štúdia/ ukončenie časti štúdia za projektovú prácu s uvedením príslušných predmetov v inžinierskych študijných programoch</w:t>
      </w:r>
    </w:p>
    <w:p>
      <w:pPr>
        <w:pStyle w:val="Normal"/>
        <w:spacing w:lineRule="auto" w:line="240" w:before="0" w:after="0"/>
        <w:ind w:left="709" w:right="0" w:hanging="0"/>
        <w:jc w:val="both"/>
        <w:rPr>
          <w:i/>
          <w:i/>
          <w:iCs/>
          <w:color w:val="000000"/>
          <w:sz w:val="16"/>
          <w:szCs w:val="16"/>
        </w:rPr>
      </w:pPr>
      <w:r>
        <w:rPr>
          <w:i/>
          <w:iCs/>
          <w:color w:val="000000"/>
          <w:sz w:val="16"/>
          <w:szCs w:val="16"/>
        </w:rPr>
        <w:t>Nejedná sa o inžiniersky študijný program.</w:t>
      </w:r>
    </w:p>
    <w:p>
      <w:pPr>
        <w:pStyle w:val="ListParagraph"/>
        <w:numPr>
          <w:ilvl w:val="0"/>
          <w:numId w:val="17"/>
        </w:numPr>
        <w:spacing w:lineRule="auto" w:line="240" w:before="0" w:after="0"/>
        <w:ind w:left="720" w:right="0" w:hanging="360"/>
        <w:contextualSpacing/>
        <w:jc w:val="both"/>
        <w:rPr>
          <w:i/>
          <w:i/>
          <w:iCs/>
          <w:color w:val="000000"/>
          <w:sz w:val="16"/>
          <w:szCs w:val="16"/>
        </w:rPr>
      </w:pPr>
      <w:r>
        <w:rPr>
          <w:i/>
          <w:iCs/>
          <w:color w:val="000000"/>
          <w:sz w:val="16"/>
          <w:szCs w:val="16"/>
        </w:rPr>
        <w:t xml:space="preserve">počet kreditov potrebných na riadne skončenie štúdia/ ukončenie časti štúdia za umelecké výkony okrem záverečnej práce v umeleckých študijných programoch. </w:t>
      </w:r>
    </w:p>
    <w:p>
      <w:pPr>
        <w:pStyle w:val="Normal"/>
        <w:spacing w:lineRule="auto" w:line="240" w:before="0" w:after="0"/>
        <w:ind w:left="709" w:right="0" w:hanging="0"/>
        <w:jc w:val="both"/>
        <w:rPr>
          <w:i/>
          <w:i/>
          <w:iCs/>
          <w:color w:val="000000"/>
          <w:sz w:val="16"/>
          <w:szCs w:val="16"/>
        </w:rPr>
      </w:pPr>
      <w:r>
        <w:rPr>
          <w:i/>
          <w:iCs/>
          <w:color w:val="000000"/>
          <w:sz w:val="16"/>
          <w:szCs w:val="16"/>
        </w:rPr>
        <w:t>Nejedná sa o umelecký študijný program.</w:t>
      </w:r>
    </w:p>
    <w:p>
      <w:pPr>
        <w:pStyle w:val="ListParagraph"/>
        <w:numPr>
          <w:ilvl w:val="0"/>
          <w:numId w:val="3"/>
        </w:numPr>
        <w:spacing w:lineRule="auto" w:line="240" w:before="0" w:after="0"/>
        <w:ind w:left="360" w:right="0" w:hanging="360"/>
        <w:contextualSpacing/>
        <w:jc w:val="both"/>
        <w:rPr>
          <w:rFonts w:cs="Calibri"/>
          <w:i/>
          <w:i/>
          <w:iCs/>
          <w:sz w:val="16"/>
          <w:szCs w:val="16"/>
        </w:rPr>
      </w:pPr>
      <w:r>
        <w:rPr>
          <w:rFonts w:cs="Calibri"/>
          <w:i/>
          <w:iCs/>
          <w:sz w:val="16"/>
          <w:szCs w:val="16"/>
        </w:rPr>
        <w:t xml:space="preserve">Vysoká škola popíše pravidlá pre overovanie výstupov vzdelávania a hodnotenie študentov a možnosti opravných postupov voči tomuto hodnoteniu.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Overovanie výstupov vzdelávania a hodnotenie študentov sa realizuje v zmysle Študijného poriadku PU (čl. 16), v ktorom sa uvádza: </w:t>
      </w:r>
    </w:p>
    <w:p>
      <w:pPr>
        <w:pStyle w:val="Normal"/>
        <w:spacing w:lineRule="auto" w:line="240" w:before="0" w:after="0"/>
        <w:ind w:left="709" w:right="0" w:hanging="0"/>
        <w:jc w:val="both"/>
        <w:rPr>
          <w:i/>
          <w:i/>
          <w:iCs/>
          <w:color w:val="000000"/>
          <w:sz w:val="16"/>
          <w:szCs w:val="16"/>
        </w:rPr>
      </w:pPr>
      <w:r>
        <w:rPr>
          <w:i/>
          <w:iCs/>
          <w:color w:val="000000"/>
          <w:sz w:val="16"/>
          <w:szCs w:val="16"/>
        </w:rPr>
        <w:t>„</w:t>
      </w:r>
      <w:r>
        <w:rPr>
          <w:i/>
          <w:iCs/>
          <w:color w:val="000000"/>
          <w:sz w:val="16"/>
          <w:szCs w:val="16"/>
        </w:rPr>
        <w:t xml:space="preserve">Hodnotenie študijných výsledkov študenta v rámci študijného predmetu sa uskutočňuje: (a) priebežným hodnotením (ph s klasifikáciou); (b) skúškou za dané obdobie štúdia (s klasifikáciou); (c) absolvovaním – absolvoval (abs.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pPr>
        <w:pStyle w:val="Normal"/>
        <w:spacing w:lineRule="auto" w:line="240" w:before="0" w:after="0"/>
        <w:ind w:left="709" w:right="0" w:hanging="0"/>
        <w:jc w:val="both"/>
        <w:rPr>
          <w:i/>
          <w:i/>
          <w:iCs/>
          <w:color w:val="000000"/>
          <w:sz w:val="16"/>
          <w:szCs w:val="16"/>
        </w:rPr>
      </w:pPr>
      <w:r>
        <w:rPr>
          <w:i/>
          <w:iCs/>
          <w:color w:val="000000"/>
          <w:sz w:val="16"/>
          <w:szCs w:val="16"/>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w:t>
      </w:r>
    </w:p>
    <w:p>
      <w:pPr>
        <w:pStyle w:val="Normal"/>
        <w:spacing w:lineRule="auto" w:line="240" w:before="0" w:after="0"/>
        <w:ind w:left="709" w:right="0" w:hanging="0"/>
        <w:jc w:val="both"/>
        <w:rPr>
          <w:i/>
          <w:i/>
          <w:iCs/>
          <w:color w:val="000000"/>
          <w:sz w:val="16"/>
          <w:szCs w:val="16"/>
        </w:rPr>
      </w:pPr>
      <w:r>
        <w:rPr>
          <w:i/>
          <w:iCs/>
          <w:color w:val="000000"/>
          <w:sz w:val="16"/>
          <w:szCs w:val="16"/>
        </w:rPr>
        <w:t>Ďalšie možnosti opravných postupov voči hodnoteniu je možné realizovať na základe Zákona o sťažnostiach 9/2010 Z. z.,  ktorý upravuje postup pri podávaní, vybavovaní a kontrole vybavovania sťažností fyzických osôb alebo právnických osôb.</w:t>
      </w:r>
    </w:p>
    <w:p>
      <w:pPr>
        <w:pStyle w:val="ListParagraph"/>
        <w:numPr>
          <w:ilvl w:val="0"/>
          <w:numId w:val="18"/>
        </w:numPr>
        <w:spacing w:lineRule="auto" w:line="259" w:before="0" w:after="160"/>
        <w:ind w:left="720" w:right="0" w:hanging="360"/>
        <w:contextualSpacing/>
        <w:rPr/>
      </w:pPr>
      <w:r>
        <w:rPr>
          <w:rFonts w:eastAsia="Calibri" w:cs="Calibri"/>
          <w:color w:val="000000"/>
          <w:sz w:val="16"/>
          <w:szCs w:val="16"/>
        </w:rPr>
        <w:t xml:space="preserve">Čl. 15 až 22 Študijného poriadku PU v Prešove z r. 2018. Odkaz: </w:t>
      </w:r>
      <w:hyperlink r:id="rId11">
        <w:r>
          <w:rPr>
            <w:rStyle w:val="InternetLink"/>
            <w:rFonts w:eastAsia="Calibri" w:cs="Calibri"/>
            <w:color w:val="000000"/>
            <w:sz w:val="16"/>
            <w:szCs w:val="16"/>
          </w:rPr>
          <w:t>https://www.unipo.sk/public/media/0190/STUD%2024.9.18%20pdf.pdf</w:t>
        </w:r>
      </w:hyperlink>
      <w:r>
        <w:rPr>
          <w:rFonts w:eastAsia="Calibri" w:cs="Calibri"/>
          <w:color w:val="000000"/>
          <w:sz w:val="16"/>
          <w:szCs w:val="16"/>
        </w:rPr>
        <w:t xml:space="preserve"> </w:t>
      </w:r>
    </w:p>
    <w:p>
      <w:pPr>
        <w:pStyle w:val="ListParagraph"/>
        <w:numPr>
          <w:ilvl w:val="0"/>
          <w:numId w:val="18"/>
        </w:numPr>
        <w:spacing w:lineRule="auto" w:line="259" w:before="0" w:after="160"/>
        <w:ind w:left="720" w:right="0" w:hanging="360"/>
        <w:contextualSpacing/>
        <w:rPr/>
      </w:pPr>
      <w:r>
        <w:rPr>
          <w:rFonts w:eastAsia="Calibri" w:cs="Calibri"/>
          <w:color w:val="000000"/>
          <w:sz w:val="16"/>
          <w:szCs w:val="16"/>
        </w:rPr>
        <w:t xml:space="preserve">Disciplinárny poriadok PU v Prešove - </w:t>
      </w:r>
      <w:hyperlink r:id="rId12">
        <w:r>
          <w:rPr>
            <w:rStyle w:val="InternetLink"/>
            <w:rFonts w:eastAsia="Calibri" w:cs="Calibri"/>
            <w:color w:val="000000"/>
            <w:sz w:val="16"/>
            <w:szCs w:val="16"/>
          </w:rPr>
          <w:t>https://www.unipo.sk/public/media/files/docs/u/svk/disciplinarny_poriadok_08.pdf</w:t>
        </w:r>
      </w:hyperlink>
      <w:r>
        <w:rPr>
          <w:rFonts w:eastAsia="Calibri" w:cs="Calibri"/>
          <w:color w:val="000000"/>
          <w:sz w:val="16"/>
          <w:szCs w:val="16"/>
        </w:rPr>
        <w:t xml:space="preserve"> </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r>
    </w:p>
    <w:p>
      <w:pPr>
        <w:pStyle w:val="ListParagraph"/>
        <w:numPr>
          <w:ilvl w:val="0"/>
          <w:numId w:val="3"/>
        </w:numPr>
        <w:spacing w:lineRule="auto" w:line="240" w:before="0" w:after="0"/>
        <w:ind w:left="360" w:right="0" w:hanging="360"/>
        <w:contextualSpacing/>
        <w:jc w:val="both"/>
        <w:rPr>
          <w:rFonts w:cs="Calibri"/>
          <w:i/>
          <w:i/>
          <w:iCs/>
          <w:sz w:val="16"/>
          <w:szCs w:val="16"/>
        </w:rPr>
      </w:pPr>
      <w:r>
        <w:rPr>
          <w:rFonts w:cs="Calibri"/>
          <w:i/>
          <w:iCs/>
          <w:sz w:val="16"/>
          <w:szCs w:val="16"/>
        </w:rPr>
        <w:t xml:space="preserve">Podmienky uznávania štúdia, alebo časti štúdia. </w:t>
      </w:r>
    </w:p>
    <w:p>
      <w:pPr>
        <w:pStyle w:val="Normal"/>
        <w:spacing w:lineRule="auto" w:line="240" w:before="0" w:after="0"/>
        <w:ind w:left="709" w:right="0" w:hanging="0"/>
        <w:jc w:val="both"/>
        <w:rPr/>
      </w:pPr>
      <w:r>
        <w:rPr>
          <w:rFonts w:cs="Calibri"/>
          <w:i/>
          <w:iCs/>
          <w:sz w:val="16"/>
          <w:szCs w:val="16"/>
        </w:rPr>
        <w:t xml:space="preserve"> </w:t>
      </w:r>
      <w:r>
        <w:rPr>
          <w:i/>
          <w:iCs/>
          <w:color w:val="000000"/>
          <w:sz w:val="16"/>
          <w:szCs w:val="16"/>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pPr>
        <w:pStyle w:val="Normal"/>
        <w:spacing w:lineRule="auto" w:line="240" w:before="0" w:after="0"/>
        <w:ind w:left="709" w:right="0" w:hanging="0"/>
        <w:jc w:val="both"/>
        <w:rPr>
          <w:i/>
          <w:i/>
          <w:iCs/>
          <w:color w:val="000000"/>
          <w:sz w:val="16"/>
          <w:szCs w:val="16"/>
        </w:rPr>
      </w:pPr>
      <w:r>
        <w:rPr>
          <w:i/>
          <w:iCs/>
          <w:color w:val="000000"/>
          <w:sz w:val="16"/>
          <w:szCs w:val="16"/>
        </w:rPr>
        <w:t>Pravidlá uznávania predmetov a kreditov špecifikuje Študijný poriadok PU v Prešove (čl. 20):</w:t>
      </w:r>
    </w:p>
    <w:p>
      <w:pPr>
        <w:pStyle w:val="Normal"/>
        <w:spacing w:lineRule="auto" w:line="240" w:before="0" w:after="0"/>
        <w:ind w:left="709" w:right="0" w:hanging="0"/>
        <w:jc w:val="both"/>
        <w:rPr>
          <w:i/>
          <w:i/>
          <w:iCs/>
          <w:color w:val="000000"/>
          <w:sz w:val="16"/>
          <w:szCs w:val="16"/>
        </w:rPr>
      </w:pPr>
      <w:r>
        <w:rPr>
          <w:i/>
          <w:iCs/>
          <w:color w:val="000000"/>
          <w:sz w:val="16"/>
          <w:szCs w:val="16"/>
        </w:rPr>
        <w:t>Študent môže požiadať o uznanie predmetov a kreditov absolvovaných v inom alebo identickom študijnom programe najneskôr do siedmich dní po zápise v príslušnom akademickom roku.</w:t>
      </w:r>
    </w:p>
    <w:p>
      <w:pPr>
        <w:pStyle w:val="Normal"/>
        <w:spacing w:lineRule="auto" w:line="240" w:before="0" w:after="0"/>
        <w:ind w:left="709" w:right="0" w:hanging="0"/>
        <w:jc w:val="both"/>
        <w:rPr>
          <w:i/>
          <w:i/>
          <w:iCs/>
          <w:color w:val="000000"/>
          <w:sz w:val="16"/>
          <w:szCs w:val="16"/>
        </w:rPr>
      </w:pPr>
      <w:r>
        <w:rPr>
          <w:i/>
          <w:iCs/>
          <w:color w:val="000000"/>
          <w:sz w:val="16"/>
          <w:szCs w:val="16"/>
        </w:rPr>
        <w:t>Študent môže požiadať len o uznanie toho predmetu, ktorý už úspešne absolvoval v predchádzajúcich akademických rokoch a získal zaň príslušný počet kreditov, a v prípade, ak od jeho absolvovania neuplynulo viac ako päť rokov.</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Žiadosť o uznanie predmetu a priznanie kreditov za príslušný predmet predkladá študent na Oddelení pre vzdelávanie. </w:t>
      </w:r>
    </w:p>
    <w:p>
      <w:pPr>
        <w:pStyle w:val="Normal"/>
        <w:spacing w:lineRule="auto" w:line="240" w:before="0" w:after="0"/>
        <w:ind w:left="709" w:right="0" w:hanging="0"/>
        <w:jc w:val="both"/>
        <w:rPr>
          <w:i/>
          <w:i/>
          <w:iCs/>
          <w:color w:val="000000"/>
          <w:sz w:val="16"/>
          <w:szCs w:val="16"/>
        </w:rPr>
      </w:pPr>
      <w:r>
        <w:rPr>
          <w:i/>
          <w:iCs/>
          <w:color w:val="000000"/>
          <w:sz w:val="16"/>
          <w:szCs w:val="16"/>
        </w:rPr>
        <w:t>K žiadosti o uznanie predmetu a priznanie kreditov za príslušný predmet je študent povinný priložiť doklad o vykonaní skúšky (výpis) a informačný list, príp. sylaby príslušného predmetu.</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Rozhodnutiu dekana predchádza posúdenie informačného listu garantom študijného programu pre vzdelávanie. </w:t>
      </w:r>
    </w:p>
    <w:p>
      <w:pPr>
        <w:pStyle w:val="Normal"/>
        <w:spacing w:lineRule="auto" w:line="240" w:before="0" w:after="0"/>
        <w:ind w:left="709" w:right="0" w:hanging="0"/>
        <w:jc w:val="both"/>
        <w:rPr>
          <w:i/>
          <w:i/>
          <w:iCs/>
          <w:color w:val="000000"/>
          <w:sz w:val="16"/>
          <w:szCs w:val="16"/>
        </w:rPr>
      </w:pPr>
      <w:r>
        <w:rPr>
          <w:i/>
          <w:iCs/>
          <w:color w:val="000000"/>
          <w:sz w:val="16"/>
          <w:szCs w:val="16"/>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pPr>
        <w:pStyle w:val="Normal"/>
        <w:spacing w:lineRule="auto" w:line="240" w:before="0" w:after="0"/>
        <w:ind w:left="709" w:right="0" w:hanging="0"/>
        <w:jc w:val="both"/>
        <w:rPr>
          <w:i/>
          <w:i/>
          <w:iCs/>
          <w:color w:val="000000"/>
          <w:sz w:val="16"/>
          <w:szCs w:val="16"/>
        </w:rPr>
      </w:pPr>
      <w:r>
        <w:rPr>
          <w:i/>
          <w:iCs/>
          <w:color w:val="000000"/>
          <w:sz w:val="16"/>
          <w:szCs w:val="16"/>
        </w:rPr>
        <w:t>Uznať predmet a priznať kredity za predmet, ktorý študent absolvoval v predchádzajúcom období štúdiom v študijnom programe, ktorý riadne skončil, t.j. bol mu priznaný príslušný akademický titul, nie je možné.</w:t>
      </w:r>
    </w:p>
    <w:p>
      <w:pPr>
        <w:pStyle w:val="Normal"/>
        <w:spacing w:lineRule="auto" w:line="240" w:before="0" w:after="0"/>
        <w:ind w:left="709" w:right="0" w:hanging="0"/>
        <w:jc w:val="both"/>
        <w:rPr>
          <w:i/>
          <w:i/>
          <w:iCs/>
          <w:color w:val="000000"/>
          <w:sz w:val="16"/>
          <w:szCs w:val="16"/>
        </w:rPr>
      </w:pPr>
      <w:r>
        <w:rPr>
          <w:i/>
          <w:iCs/>
          <w:color w:val="000000"/>
          <w:sz w:val="16"/>
          <w:szCs w:val="16"/>
        </w:rPr>
        <w:t>Počet kreditov možno uznať v rozsahu počtu kreditov stanovených aktuálnym študijným programom. Uvedené pravidlo uznávania počtu kreditov platí pre všetky predmety (povinné, povinne voliteľné a výberové).</w:t>
      </w:r>
    </w:p>
    <w:p>
      <w:pPr>
        <w:pStyle w:val="Normal"/>
        <w:spacing w:lineRule="auto" w:line="240" w:before="0" w:after="0"/>
        <w:ind w:left="709" w:right="0" w:hanging="0"/>
        <w:jc w:val="both"/>
        <w:rPr>
          <w:i/>
          <w:i/>
          <w:iCs/>
          <w:color w:val="000000"/>
          <w:sz w:val="16"/>
          <w:szCs w:val="16"/>
        </w:rPr>
      </w:pPr>
      <w:r>
        <w:rPr>
          <w:i/>
          <w:iCs/>
          <w:color w:val="000000"/>
          <w:sz w:val="16"/>
          <w:szCs w:val="16"/>
        </w:rPr>
        <w:t>Uznanie predmetov štátnej skúšky nie je možné.</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pPr>
        <w:pStyle w:val="Normal"/>
        <w:spacing w:lineRule="auto" w:line="240" w:before="0" w:after="0"/>
        <w:jc w:val="both"/>
        <w:rPr>
          <w:i/>
          <w:i/>
          <w:iCs/>
          <w:color w:val="000000"/>
          <w:sz w:val="16"/>
          <w:szCs w:val="16"/>
        </w:rPr>
      </w:pPr>
      <w:r>
        <w:rPr>
          <w:i/>
          <w:iCs/>
          <w:color w:val="000000"/>
          <w:sz w:val="16"/>
          <w:szCs w:val="16"/>
        </w:rPr>
      </w:r>
    </w:p>
    <w:p>
      <w:pPr>
        <w:pStyle w:val="Normal"/>
        <w:ind w:left="709" w:right="0" w:hanging="0"/>
        <w:jc w:val="both"/>
        <w:rPr/>
      </w:pPr>
      <w:r>
        <w:rPr>
          <w:rFonts w:eastAsia="Calibri" w:cs="Calibri"/>
          <w:i/>
          <w:iCs/>
          <w:color w:val="000000"/>
          <w:sz w:val="16"/>
          <w:szCs w:val="16"/>
        </w:rPr>
        <w:t xml:space="preserve">Podmienky, za ktorých sú uznávané predmety štúdia, resp. kredity uvádza Čl.20 ŠP. Žiadosť o uznanie predmetu a priznanie kreditov za príslušný predmet predkladá študent na študijnom oddelení kmeňovej fakulty alebo univerzity (viď. Študijný poriadok PU: </w:t>
      </w:r>
      <w:hyperlink r:id="rId13">
        <w:r>
          <w:rPr>
            <w:rStyle w:val="InternetLink"/>
          </w:rPr>
          <w:t>https://www.unipo.sk/public/media/0190/STUD%2024.9.18%20pdf.pdf</w:t>
        </w:r>
      </w:hyperlink>
      <w:r>
        <w:rPr>
          <w:rStyle w:val="InternetLink"/>
          <w:rFonts w:eastAsia="Calibri" w:cs="Calibri"/>
          <w:i/>
          <w:iCs/>
          <w:color w:val="000000"/>
          <w:sz w:val="16"/>
          <w:szCs w:val="16"/>
        </w:rPr>
        <w:t>)</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r>
    </w:p>
    <w:p>
      <w:pPr>
        <w:pStyle w:val="ListParagraph"/>
        <w:numPr>
          <w:ilvl w:val="0"/>
          <w:numId w:val="3"/>
        </w:numPr>
        <w:spacing w:lineRule="auto" w:line="240" w:before="0" w:after="0"/>
        <w:ind w:left="360" w:right="0" w:hanging="360"/>
        <w:contextualSpacing/>
        <w:rPr>
          <w:rFonts w:cs="Calibri"/>
          <w:i/>
          <w:i/>
          <w:iCs/>
          <w:sz w:val="16"/>
          <w:szCs w:val="16"/>
        </w:rPr>
      </w:pPr>
      <w:r>
        <w:rPr>
          <w:rFonts w:cs="Calibri"/>
          <w:i/>
          <w:iCs/>
          <w:sz w:val="16"/>
          <w:szCs w:val="16"/>
        </w:rPr>
        <w:t xml:space="preserve">Vysoká škola uvedie témy záverečných prác študijného programu (alebo odkaz na zoznam). </w:t>
      </w:r>
    </w:p>
    <w:p>
      <w:pPr>
        <w:pStyle w:val="Normal"/>
        <w:ind w:left="709" w:right="0" w:hanging="0"/>
        <w:jc w:val="both"/>
        <w:rPr/>
      </w:pPr>
      <w:r>
        <w:rPr>
          <w:rFonts w:cs="Calibri"/>
          <w:i/>
          <w:iCs/>
          <w:sz w:val="16"/>
          <w:szCs w:val="16"/>
        </w:rPr>
        <w:t xml:space="preserve"> </w:t>
      </w:r>
      <w:r>
        <w:rPr>
          <w:rFonts w:eastAsia="Calibri" w:cs="Calibri"/>
          <w:i/>
          <w:iCs/>
          <w:color w:val="000000"/>
          <w:sz w:val="16"/>
          <w:szCs w:val="16"/>
        </w:rPr>
        <w:t>Fakulta každoročne v súlade so Študijným poriadkom PU v Prešove prostredníctvom jednotlivých pracovísk zverejňuje zoznam tém záverečných prác, najneskôr do 15. novembra daného akademického roka. Témy záverečných prác schvaľuje vedúci zamestnanec vedecko-pedagogického pracoviska a to tak, aby súčet záverečných prác na prvom a druhom stupni štúdia, vedených jedným zamestnancom nepresiahol v jednom akademickom roku desať. Pri schvaľovaní tém musí byť zároveň dodržaná podmienka, aby školiteľ záverečnej práce mal aspoň o jeden stupeň vyššie vysokoškolské vzdelanie, resp. kvalifikáciu, ako je vedená záverečná práca (jedinú výnimku tvoria odborníci z praxe), ako aj to, aby vypísaná téma zodpovedala vedecko-pedagogickej profilácii školiteľa. Vzhľadom k priemernému počtu prijímaných študentov v jednotlivých akademických rokoch a počtu študentov realizujúci záverečné práce na pracovisku žiadateľa predpokladáme, že udržateľnosť plnenia kritéria bude bezproblémová.</w:t>
      </w:r>
    </w:p>
    <w:p>
      <w:pPr>
        <w:pStyle w:val="Normal"/>
        <w:spacing w:lineRule="auto" w:line="240" w:before="0" w:after="0"/>
        <w:ind w:left="709" w:right="0" w:hanging="0"/>
        <w:rPr>
          <w:i/>
          <w:i/>
          <w:iCs/>
          <w:color w:val="000000"/>
          <w:sz w:val="16"/>
          <w:szCs w:val="16"/>
        </w:rPr>
      </w:pPr>
      <w:r>
        <w:rPr>
          <w:i/>
          <w:iCs/>
          <w:color w:val="000000"/>
          <w:sz w:val="16"/>
          <w:szCs w:val="16"/>
        </w:rPr>
        <w:t>V akademickom roku 2020/21 boli navrhnuté nasledovné témy:</w:t>
      </w:r>
    </w:p>
    <w:p>
      <w:pPr>
        <w:pStyle w:val="ListParagraph"/>
        <w:numPr>
          <w:ilvl w:val="0"/>
          <w:numId w:val="18"/>
        </w:numPr>
        <w:spacing w:lineRule="auto" w:line="240" w:before="0" w:after="0"/>
        <w:ind w:left="720" w:right="0" w:hanging="360"/>
        <w:contextualSpacing/>
        <w:rPr>
          <w:i/>
          <w:i/>
          <w:iCs/>
          <w:color w:val="000000"/>
          <w:sz w:val="16"/>
          <w:szCs w:val="16"/>
        </w:rPr>
      </w:pPr>
      <w:r>
        <w:rPr>
          <w:i/>
          <w:iCs/>
          <w:color w:val="000000"/>
          <w:sz w:val="16"/>
          <w:szCs w:val="16"/>
        </w:rPr>
        <w:t>Kultúrno-historické pamiatky Trebišova a blízkeho okolia, Grešlík</w:t>
      </w:r>
    </w:p>
    <w:p>
      <w:pPr>
        <w:pStyle w:val="ListParagraph"/>
        <w:numPr>
          <w:ilvl w:val="0"/>
          <w:numId w:val="18"/>
        </w:numPr>
        <w:spacing w:lineRule="auto" w:line="240" w:before="0" w:after="0"/>
        <w:ind w:left="720" w:right="0" w:hanging="360"/>
        <w:contextualSpacing/>
        <w:rPr>
          <w:i/>
          <w:i/>
          <w:iCs/>
          <w:color w:val="000000"/>
          <w:sz w:val="16"/>
          <w:szCs w:val="16"/>
        </w:rPr>
      </w:pPr>
      <w:r>
        <w:rPr>
          <w:i/>
          <w:iCs/>
          <w:color w:val="000000"/>
          <w:sz w:val="16"/>
          <w:szCs w:val="16"/>
        </w:rPr>
        <w:t>Akvarel v súčasnej ilustračnej tvorbe na Slovensku, Ondo</w:t>
      </w:r>
    </w:p>
    <w:p>
      <w:pPr>
        <w:pStyle w:val="ListParagraph"/>
        <w:numPr>
          <w:ilvl w:val="0"/>
          <w:numId w:val="18"/>
        </w:numPr>
        <w:spacing w:lineRule="auto" w:line="240" w:before="0" w:after="0"/>
        <w:ind w:left="720" w:right="0" w:hanging="360"/>
        <w:contextualSpacing/>
        <w:rPr>
          <w:i/>
          <w:i/>
          <w:iCs/>
          <w:color w:val="000000"/>
          <w:sz w:val="16"/>
          <w:szCs w:val="16"/>
        </w:rPr>
      </w:pPr>
      <w:r>
        <w:rPr>
          <w:i/>
          <w:iCs/>
          <w:color w:val="000000"/>
          <w:sz w:val="16"/>
          <w:szCs w:val="16"/>
        </w:rPr>
        <w:t>Figurálna kompozícia v tvorbe Maxa Beckmana, Ondo</w:t>
      </w:r>
    </w:p>
    <w:p>
      <w:pPr>
        <w:pStyle w:val="Heading4"/>
        <w:ind w:left="0" w:hanging="0"/>
        <w:rPr>
          <w:rFonts w:ascii="Calibri" w:hAnsi="Calibri" w:cs="Calibri"/>
          <w:sz w:val="16"/>
          <w:szCs w:val="16"/>
        </w:rPr>
      </w:pPr>
      <w:r>
        <w:rPr>
          <w:rFonts w:cs="Calibri" w:ascii="Calibri" w:hAnsi="Calibri"/>
          <w:sz w:val="16"/>
          <w:szCs w:val="16"/>
        </w:rPr>
        <w:t xml:space="preserve">          </w:t>
      </w:r>
      <w:r>
        <w:rPr>
          <w:rFonts w:cs="Calibri" w:ascii="Calibri" w:hAnsi="Calibri"/>
          <w:sz w:val="16"/>
          <w:szCs w:val="16"/>
        </w:rPr>
        <w:t>-        Súčasná mezzotinta na Slovensku a v zahraničí, Kocák</w:t>
      </w:r>
    </w:p>
    <w:p>
      <w:pPr>
        <w:pStyle w:val="Heading4"/>
        <w:ind w:left="0" w:hanging="0"/>
        <w:rPr>
          <w:rFonts w:ascii="Calibri" w:hAnsi="Calibri" w:cs="Calibri"/>
          <w:sz w:val="16"/>
          <w:szCs w:val="16"/>
        </w:rPr>
      </w:pPr>
      <w:r>
        <w:rPr>
          <w:rFonts w:cs="Calibri" w:ascii="Calibri" w:hAnsi="Calibri"/>
          <w:sz w:val="16"/>
          <w:szCs w:val="16"/>
        </w:rPr>
        <w:t xml:space="preserve">          </w:t>
      </w:r>
      <w:r>
        <w:rPr>
          <w:rFonts w:cs="Calibri" w:ascii="Calibri" w:hAnsi="Calibri"/>
          <w:sz w:val="16"/>
          <w:szCs w:val="16"/>
        </w:rPr>
        <w:t>-        Akvarel v súčasnej ilustračnej tvorbe na Slovensku, Ondo</w:t>
      </w:r>
    </w:p>
    <w:p>
      <w:pPr>
        <w:pStyle w:val="Heading4"/>
        <w:ind w:left="0" w:hanging="0"/>
        <w:rPr>
          <w:rFonts w:ascii="Calibri" w:hAnsi="Calibri" w:cs="Calibri"/>
          <w:sz w:val="16"/>
          <w:szCs w:val="16"/>
        </w:rPr>
      </w:pPr>
      <w:r>
        <w:rPr>
          <w:rFonts w:cs="Calibri" w:ascii="Calibri" w:hAnsi="Calibri"/>
          <w:sz w:val="16"/>
          <w:szCs w:val="16"/>
        </w:rPr>
        <w:t xml:space="preserve">          </w:t>
      </w:r>
      <w:r>
        <w:rPr>
          <w:rFonts w:cs="Calibri" w:ascii="Calibri" w:hAnsi="Calibri"/>
          <w:sz w:val="16"/>
          <w:szCs w:val="16"/>
        </w:rPr>
        <w:t>-        Piet Mondrian neoplasticizmus a skupina De Stijl Geometrická kompozícia, Zbojan</w:t>
      </w:r>
    </w:p>
    <w:p>
      <w:pPr>
        <w:pStyle w:val="ListParagraph"/>
        <w:spacing w:lineRule="auto" w:line="240" w:before="0" w:after="0"/>
        <w:contextualSpacing/>
        <w:rPr>
          <w:rFonts w:cs="Calibri"/>
          <w:i/>
          <w:i/>
          <w:iCs/>
          <w:color w:val="000000"/>
          <w:sz w:val="16"/>
          <w:szCs w:val="16"/>
          <w:shd w:fill="FFFF00" w:val="clear"/>
        </w:rPr>
      </w:pPr>
      <w:r>
        <w:rPr>
          <w:rFonts w:cs="Calibri"/>
          <w:i/>
          <w:iCs/>
          <w:color w:val="000000"/>
          <w:sz w:val="16"/>
          <w:szCs w:val="16"/>
          <w:shd w:fill="FFFF00" w:val="clear"/>
        </w:rPr>
      </w:r>
    </w:p>
    <w:p>
      <w:pPr>
        <w:pStyle w:val="ListParagraph"/>
        <w:numPr>
          <w:ilvl w:val="0"/>
          <w:numId w:val="3"/>
        </w:numPr>
        <w:spacing w:lineRule="auto" w:line="240" w:before="0" w:after="0"/>
        <w:ind w:left="360" w:right="0" w:hanging="360"/>
        <w:contextualSpacing/>
        <w:jc w:val="both"/>
        <w:rPr>
          <w:rFonts w:cs="Calibri"/>
          <w:i/>
          <w:i/>
          <w:iCs/>
          <w:sz w:val="16"/>
          <w:szCs w:val="16"/>
        </w:rPr>
      </w:pPr>
      <w:r>
        <w:rPr>
          <w:rFonts w:cs="Calibri"/>
          <w:i/>
          <w:iCs/>
          <w:sz w:val="16"/>
          <w:szCs w:val="16"/>
        </w:rPr>
        <w:t>Vysoká škola popíše alebo sa odkáže na:</w:t>
      </w:r>
    </w:p>
    <w:p>
      <w:pPr>
        <w:pStyle w:val="ListParagraph"/>
        <w:numPr>
          <w:ilvl w:val="0"/>
          <w:numId w:val="16"/>
        </w:numPr>
        <w:spacing w:lineRule="auto" w:line="240" w:before="0" w:after="0"/>
        <w:ind w:left="720" w:right="0" w:hanging="360"/>
        <w:contextualSpacing/>
        <w:jc w:val="both"/>
        <w:rPr>
          <w:i/>
          <w:i/>
          <w:iCs/>
          <w:color w:val="000000"/>
          <w:sz w:val="16"/>
          <w:szCs w:val="16"/>
        </w:rPr>
      </w:pPr>
      <w:r>
        <w:rPr>
          <w:i/>
          <w:iCs/>
          <w:color w:val="000000"/>
          <w:sz w:val="16"/>
          <w:szCs w:val="16"/>
        </w:rPr>
        <w:t xml:space="preserve">pravidlá pri zadávaní, spracovaní, oponovaní, obhajobe a hodnotení záverečných prác v študijnom programe, </w:t>
      </w:r>
    </w:p>
    <w:p>
      <w:pPr>
        <w:pStyle w:val="Normal"/>
        <w:spacing w:lineRule="auto" w:line="240" w:before="0" w:after="0"/>
        <w:ind w:left="709" w:right="0" w:hanging="0"/>
        <w:jc w:val="both"/>
        <w:rPr>
          <w:i/>
          <w:i/>
          <w:iCs/>
          <w:color w:val="000000"/>
          <w:sz w:val="16"/>
          <w:szCs w:val="16"/>
        </w:rPr>
      </w:pPr>
      <w:r>
        <w:rPr>
          <w:i/>
          <w:iCs/>
          <w:color w:val="000000"/>
          <w:sz w:val="16"/>
          <w:szCs w:val="16"/>
        </w:rPr>
        <w:t>Univerzita má vypracovaný ucelený systém  procesov zabezpečujúcich postup pre prípravu a organizáciu záverečných prác vo všetkých stupňoch štúdia. Základným dokumentom je Smernica o náležitostiach záverečných prác, ich bibliografickej registrácii, kontrole originality, uchovávaní a sprístupňovaní, vydaná rektorom PU v r. 2019. Smernica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pPr>
        <w:pStyle w:val="Normal"/>
        <w:spacing w:lineRule="auto" w:line="240" w:before="0" w:after="0"/>
        <w:ind w:left="709" w:right="0" w:hanging="0"/>
        <w:jc w:val="both"/>
        <w:rPr/>
      </w:pPr>
      <w:r>
        <w:rPr>
          <w:i/>
          <w:iCs/>
          <w:color w:val="000000"/>
          <w:sz w:val="16"/>
          <w:szCs w:val="16"/>
        </w:rPr>
        <w:t xml:space="preserve">Konkrétne postupy pre vymedzenie záverečných prác v </w:t>
      </w:r>
      <w:r>
        <w:rPr>
          <w:i/>
          <w:iCs/>
          <w:color w:val="000000"/>
          <w:sz w:val="16"/>
          <w:szCs w:val="16"/>
          <w:shd w:fill="FFFF00" w:val="clear"/>
        </w:rPr>
        <w:t>bakalárskom</w:t>
      </w:r>
      <w:r>
        <w:rPr>
          <w:i/>
          <w:iCs/>
          <w:color w:val="000000"/>
          <w:sz w:val="16"/>
          <w:szCs w:val="16"/>
        </w:rPr>
        <w:t xml:space="preserve"> stupni štúdia, ich spracovanie, obhajoba a hodnotenie sú uvedené v Študijnom poriadku PU v článku 23.</w:t>
      </w:r>
    </w:p>
    <w:p>
      <w:pPr>
        <w:pStyle w:val="Normal"/>
        <w:spacing w:lineRule="auto" w:line="240" w:before="0" w:after="0"/>
        <w:ind w:left="709" w:right="0" w:hanging="0"/>
        <w:jc w:val="both"/>
        <w:rPr/>
      </w:pPr>
      <w:r>
        <w:rPr>
          <w:i/>
          <w:iCs/>
          <w:color w:val="000000"/>
          <w:sz w:val="16"/>
          <w:szCs w:val="16"/>
        </w:rPr>
        <w:t xml:space="preserve">Obhajoba záverečnej práce je predmetom štátnej skúšky a študent za ňu získa </w:t>
      </w:r>
      <w:r>
        <w:rPr>
          <w:i/>
          <w:iCs/>
          <w:sz w:val="16"/>
          <w:szCs w:val="16"/>
          <w:shd w:fill="FFFF00" w:val="clear"/>
        </w:rPr>
        <w:t>10</w:t>
      </w:r>
      <w:r>
        <w:rPr>
          <w:i/>
          <w:iCs/>
          <w:color w:val="000000"/>
          <w:sz w:val="16"/>
          <w:szCs w:val="16"/>
        </w:rPr>
        <w:t xml:space="preserve"> kreditov. Dostupné z: http://www.pulib.sk/web/data/pulib/subory/stranka/ezp-smernica2019.pdf</w:t>
      </w:r>
    </w:p>
    <w:p>
      <w:pPr>
        <w:pStyle w:val="ListParagraph"/>
        <w:spacing w:lineRule="auto" w:line="240" w:before="0" w:after="0"/>
        <w:ind w:left="360" w:right="0" w:hanging="0"/>
        <w:contextualSpacing/>
        <w:jc w:val="both"/>
        <w:rPr>
          <w:rFonts w:cs="Calibri"/>
          <w:i/>
          <w:i/>
          <w:iCs/>
          <w:sz w:val="16"/>
          <w:szCs w:val="16"/>
        </w:rPr>
      </w:pPr>
      <w:r>
        <w:rPr>
          <w:rFonts w:cs="Calibri"/>
          <w:i/>
          <w:iCs/>
          <w:sz w:val="16"/>
          <w:szCs w:val="16"/>
        </w:rPr>
      </w:r>
    </w:p>
    <w:p>
      <w:pPr>
        <w:pStyle w:val="ListParagraph"/>
        <w:numPr>
          <w:ilvl w:val="0"/>
          <w:numId w:val="16"/>
        </w:numPr>
        <w:spacing w:lineRule="auto" w:line="240" w:before="0" w:after="0"/>
        <w:ind w:left="720" w:right="0" w:hanging="360"/>
        <w:contextualSpacing/>
        <w:jc w:val="both"/>
        <w:rPr>
          <w:i/>
          <w:i/>
          <w:iCs/>
          <w:color w:val="000000"/>
          <w:sz w:val="16"/>
          <w:szCs w:val="16"/>
        </w:rPr>
      </w:pPr>
      <w:r>
        <w:rPr>
          <w:i/>
          <w:iCs/>
          <w:color w:val="000000"/>
          <w:sz w:val="16"/>
          <w:szCs w:val="16"/>
        </w:rPr>
        <w:t xml:space="preserve">možnosti a postupy účasti na mobilitách študentov </w:t>
      </w:r>
    </w:p>
    <w:p>
      <w:pPr>
        <w:pStyle w:val="Normal"/>
        <w:spacing w:lineRule="auto" w:line="240" w:before="0" w:after="0"/>
        <w:ind w:left="709" w:right="0" w:hanging="0"/>
        <w:jc w:val="both"/>
        <w:rPr>
          <w:i/>
          <w:i/>
          <w:iCs/>
          <w:color w:val="000000"/>
          <w:sz w:val="16"/>
          <w:szCs w:val="16"/>
        </w:rPr>
      </w:pPr>
      <w:r>
        <w:rPr>
          <w:i/>
          <w:iCs/>
          <w:color w:val="000000"/>
          <w:sz w:val="16"/>
          <w:szCs w:val="16"/>
        </w:rPr>
        <w:t>Študijný poriadok PU v časti o organizácii vzdelávacej činnosti rieši právo študenta absolvovať časť štúdia na inej vysokej škole v Slovenskej republike alebo v zahraničí. Súhlas mobility udeľuje dekan/rektor, príp. prorektor pre vonkajšie vzťahy a marketing. Časť štúdia je uznávaná v súlade so zmluvou, s európskym štandardom a Európskym systémom transferu kreditov. Opatrenie rektora „Postup realizácie odchádzajúcich študentských mobilít v rámci programu Erasmus+“ je na Prešovskej univerzite v Prešove (PU) vydávané na základe ustanovenia § 15 ods. 1 písm. l) zákona č. 131/2002 Z. z. o vysokých školách a o zmene a doplnení niektorých zákonov v znení neskorších predpisov. Týmto opatrením rektora vedenie PU určuje priebeh aktivít jednotlivých aktérov súvisiacich s realizáciou študentských mobilít do zahraničia v rámci programu Erasmus+.1.1Úvodné ustanovenia Opatrenie rektora reaguje na hlavné myšlienky Bolonského procesu. PU pri koncipovaní kvality vzdelávania aplikuje prístupy deklarované v súčasných koncepciách určovania a hodnotenia výsledkov vzdelávania. Opatrenie rektora je s pracované v súlade s § 87a zákona o vysokých školách.</w:t>
      </w:r>
    </w:p>
    <w:p>
      <w:pPr>
        <w:pStyle w:val="Normal"/>
        <w:spacing w:lineRule="auto" w:line="240" w:before="0" w:after="0"/>
        <w:ind w:left="709" w:right="0" w:hanging="0"/>
        <w:jc w:val="both"/>
        <w:rPr>
          <w:i/>
          <w:i/>
          <w:iCs/>
          <w:color w:val="000000"/>
          <w:sz w:val="16"/>
          <w:szCs w:val="16"/>
        </w:rPr>
      </w:pPr>
      <w:r>
        <w:rPr>
          <w:i/>
          <w:iCs/>
          <w:color w:val="000000"/>
          <w:sz w:val="16"/>
          <w:szCs w:val="16"/>
        </w:rPr>
        <w:t>Po ukončení mobility študentov sú výsledky vzdelania posudzované na základe kreditovej dotácie, ktorú študent získal na prijímajúcej inštitúcii.</w:t>
      </w:r>
    </w:p>
    <w:p>
      <w:pPr>
        <w:pStyle w:val="Normal"/>
        <w:spacing w:lineRule="auto" w:line="240" w:before="0" w:after="0"/>
        <w:ind w:left="709" w:right="0" w:hanging="0"/>
        <w:jc w:val="both"/>
        <w:rPr>
          <w:i/>
          <w:i/>
          <w:iCs/>
          <w:color w:val="000000"/>
          <w:sz w:val="16"/>
          <w:szCs w:val="16"/>
        </w:rPr>
      </w:pPr>
      <w:r>
        <w:rPr>
          <w:i/>
          <w:iCs/>
          <w:color w:val="000000"/>
          <w:sz w:val="16"/>
          <w:szCs w:val="16"/>
        </w:rPr>
        <w:t>Študentskú mobilitu zabezpečuje a usmerňuje rektorom, resp. dekanom menovaný koordinátor. Jeho úlohou je pripraviť a realizovať program medzinárodnej spolupráce vo vzdelávacej oblasti, riešenie úloh spojených s vysielaním a prijímaním študentov, poskytovanie poradenských služieb študentom o možnostiach štúdia na iných vysokých školách v Slovenskej republike a v zahraničí.</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Dôkaz: </w:t>
      </w:r>
    </w:p>
    <w:p>
      <w:pPr>
        <w:pStyle w:val="Normal"/>
        <w:spacing w:lineRule="auto" w:line="240" w:before="0" w:after="0"/>
        <w:ind w:left="709" w:right="0" w:hanging="0"/>
        <w:jc w:val="both"/>
        <w:rPr>
          <w:i/>
          <w:i/>
          <w:iCs/>
          <w:color w:val="000000"/>
          <w:sz w:val="16"/>
          <w:szCs w:val="16"/>
        </w:rPr>
      </w:pPr>
      <w:r>
        <w:rPr>
          <w:i/>
          <w:iCs/>
          <w:color w:val="000000"/>
          <w:sz w:val="16"/>
          <w:szCs w:val="16"/>
        </w:rPr>
        <w:t xml:space="preserve">Študijný poriadok PU: https://www.unipo.sk/public/media/0190/STUD%2024.9.18%20pdf.pdf </w:t>
      </w:r>
    </w:p>
    <w:p>
      <w:pPr>
        <w:pStyle w:val="Normal"/>
        <w:spacing w:lineRule="auto" w:line="240" w:before="0" w:after="0"/>
        <w:ind w:left="709" w:right="0" w:hanging="0"/>
        <w:jc w:val="both"/>
        <w:rPr/>
      </w:pPr>
      <w:r>
        <w:rPr>
          <w:i/>
          <w:iCs/>
          <w:color w:val="000000"/>
          <w:sz w:val="16"/>
          <w:szCs w:val="16"/>
        </w:rPr>
        <w:t xml:space="preserve">Stránka PU: </w:t>
      </w:r>
      <w:hyperlink r:id="rId14" w:tgtFrame="https://www.unipo.sk/zahranicie/erasmus/studenti/">
        <w:r>
          <w:rPr>
            <w:i/>
            <w:iCs/>
            <w:color w:val="000000"/>
            <w:sz w:val="16"/>
            <w:szCs w:val="16"/>
          </w:rPr>
          <w:t>https://www.unipo.sk/zahranicie/erasmus/studenti/</w:t>
        </w:r>
      </w:hyperlink>
    </w:p>
    <w:p>
      <w:pPr>
        <w:pStyle w:val="Normal"/>
        <w:spacing w:lineRule="auto" w:line="240" w:before="0" w:after="0"/>
        <w:ind w:left="709" w:right="0" w:hanging="0"/>
        <w:jc w:val="both"/>
        <w:rPr>
          <w:i/>
          <w:i/>
          <w:iCs/>
          <w:color w:val="000000"/>
          <w:sz w:val="16"/>
          <w:szCs w:val="16"/>
        </w:rPr>
      </w:pPr>
      <w:r>
        <w:rPr>
          <w:i/>
          <w:iCs/>
          <w:color w:val="000000"/>
          <w:sz w:val="16"/>
          <w:szCs w:val="16"/>
        </w:rPr>
        <w:t>Opatrenie rektora PU: https://www.unipo.sk/public/media/10602/Opatrenie-rektora-8-05-31.pdf</w:t>
      </w:r>
    </w:p>
    <w:p>
      <w:pPr>
        <w:pStyle w:val="Normal"/>
        <w:spacing w:lineRule="auto" w:line="240" w:before="0" w:after="0"/>
        <w:jc w:val="both"/>
        <w:rPr>
          <w:i/>
          <w:i/>
          <w:iCs/>
          <w:color w:val="000000"/>
          <w:sz w:val="16"/>
          <w:szCs w:val="16"/>
        </w:rPr>
      </w:pPr>
      <w:r>
        <w:rPr>
          <w:i/>
          <w:iCs/>
          <w:color w:val="000000"/>
          <w:sz w:val="16"/>
          <w:szCs w:val="16"/>
        </w:rPr>
      </w:r>
    </w:p>
    <w:p>
      <w:pPr>
        <w:pStyle w:val="ListParagraph"/>
        <w:numPr>
          <w:ilvl w:val="0"/>
          <w:numId w:val="16"/>
        </w:numPr>
        <w:spacing w:lineRule="auto" w:line="240" w:before="0" w:after="0"/>
        <w:ind w:left="720" w:right="0" w:hanging="360"/>
        <w:contextualSpacing/>
        <w:jc w:val="both"/>
        <w:rPr>
          <w:i/>
          <w:i/>
          <w:iCs/>
          <w:color w:val="000000"/>
          <w:sz w:val="16"/>
          <w:szCs w:val="16"/>
        </w:rPr>
      </w:pPr>
      <w:r>
        <w:rPr>
          <w:i/>
          <w:iCs/>
          <w:color w:val="000000"/>
          <w:sz w:val="16"/>
          <w:szCs w:val="16"/>
        </w:rPr>
        <w:t xml:space="preserve">pravidlá dodržiavania akademickej etiky a vyvodzovania dôsledkov, </w:t>
      </w:r>
    </w:p>
    <w:p>
      <w:pPr>
        <w:pStyle w:val="Normal"/>
        <w:spacing w:lineRule="auto" w:line="240" w:before="0" w:after="0"/>
        <w:ind w:left="709" w:right="0" w:hanging="0"/>
        <w:rPr>
          <w:i/>
          <w:i/>
          <w:iCs/>
          <w:color w:val="000000"/>
          <w:sz w:val="16"/>
          <w:szCs w:val="16"/>
        </w:rPr>
      </w:pPr>
      <w:r>
        <w:rPr>
          <w:i/>
          <w:iCs/>
          <w:color w:val="000000"/>
          <w:sz w:val="16"/>
          <w:szCs w:val="16"/>
        </w:rPr>
        <w:t>Pravidlá dodržiavania akademickej etiky a vyvodzovania dôsledkov uvádza dokument Etický kódex PU v Prešove. Vedecká integrita a etika dostupný z:  https://www.unipo.sk/public/media/38250/Etick%C3%BD%20k%C3%B3dex%20Pre%C5%A1ovskej%20univerzity%20v%20Pre%C5%A1ove.pdf</w:t>
      </w:r>
    </w:p>
    <w:p>
      <w:pPr>
        <w:pStyle w:val="Normal"/>
        <w:spacing w:lineRule="auto" w:line="240" w:before="0" w:after="0"/>
        <w:ind w:left="709" w:right="0" w:hanging="0"/>
        <w:rPr>
          <w:i/>
          <w:i/>
          <w:iCs/>
          <w:color w:val="000000"/>
          <w:sz w:val="16"/>
          <w:szCs w:val="16"/>
        </w:rPr>
      </w:pPr>
      <w:r>
        <w:rPr>
          <w:i/>
          <w:iCs/>
          <w:color w:val="000000"/>
          <w:sz w:val="16"/>
          <w:szCs w:val="16"/>
        </w:rPr>
        <w:t>a Zákon o sťažnostiach 2009: https://www.slov-lex.sk/pravne-predpisy/SK/ZZ/2010/9/</w:t>
      </w:r>
    </w:p>
    <w:p>
      <w:pPr>
        <w:pStyle w:val="Normal"/>
        <w:spacing w:lineRule="auto" w:line="240" w:before="0" w:after="0"/>
        <w:jc w:val="both"/>
        <w:rPr>
          <w:i/>
          <w:i/>
          <w:iCs/>
          <w:color w:val="000000"/>
          <w:sz w:val="16"/>
          <w:szCs w:val="16"/>
        </w:rPr>
      </w:pPr>
      <w:r>
        <w:rPr>
          <w:i/>
          <w:iCs/>
          <w:color w:val="000000"/>
          <w:sz w:val="16"/>
          <w:szCs w:val="16"/>
        </w:rPr>
      </w:r>
    </w:p>
    <w:p>
      <w:pPr>
        <w:pStyle w:val="ListParagraph"/>
        <w:numPr>
          <w:ilvl w:val="0"/>
          <w:numId w:val="16"/>
        </w:numPr>
        <w:spacing w:lineRule="auto" w:line="240" w:before="0" w:after="0"/>
        <w:ind w:left="720" w:right="0" w:hanging="360"/>
        <w:contextualSpacing/>
        <w:jc w:val="both"/>
        <w:rPr>
          <w:i/>
          <w:i/>
          <w:iCs/>
          <w:color w:val="000000"/>
          <w:sz w:val="16"/>
          <w:szCs w:val="16"/>
        </w:rPr>
      </w:pPr>
      <w:r>
        <w:rPr>
          <w:i/>
          <w:iCs/>
          <w:color w:val="000000"/>
          <w:sz w:val="16"/>
          <w:szCs w:val="16"/>
        </w:rPr>
        <w:t xml:space="preserve">postupy aplikovateľné pre študentov so špeciálnymi potrebami, </w:t>
      </w:r>
    </w:p>
    <w:p>
      <w:pPr>
        <w:pStyle w:val="Normal"/>
        <w:spacing w:lineRule="auto" w:line="216"/>
        <w:ind w:left="709" w:right="0" w:hanging="0"/>
        <w:rPr/>
      </w:pPr>
      <w:r>
        <w:rPr>
          <w:rFonts w:eastAsia="Calibri" w:cs="Calibri"/>
          <w:i/>
          <w:iCs/>
          <w:color w:val="000000"/>
          <w:sz w:val="16"/>
          <w:szCs w:val="16"/>
        </w:rPr>
        <w:t xml:space="preserve">Rozmanitosť potrieb študentov (špeciálne potreby) je akceptovaná v rozsahu dokumentu Metodický sprievodca. Dokument v súlade s § 100 ods. 11 zákona č. 131/2002 Z. z. o vysokých školách a o zmene a doplnení niektorých zákonov v znení neskorších predpisov (ďalej „zákon o VŠ“) a Vyhlášky č. 458/2012 Z. z. o minimálnych nárokoch študenta so špecifickými potrebami vytvára všeobecne prístupné akademické prostredie a zodpovedajúce podmienky štúdia pre študentov so špecifickými potrebami bez znižovania požiadaviek na ich študijný výkon (viď. Metodický sprievodca: </w:t>
      </w:r>
      <w:hyperlink r:id="rId15">
        <w:r>
          <w:rPr>
            <w:rStyle w:val="InternetLink"/>
            <w:rFonts w:eastAsia="Calibri" w:cs="Calibri"/>
            <w:i/>
            <w:iCs/>
            <w:color w:val="000000"/>
            <w:sz w:val="16"/>
            <w:szCs w:val="16"/>
          </w:rPr>
          <w:t>https://www.unipo.sk/public/media/0190/METODIKA_%C5%A0%C5%A0P_april2017.pdf</w:t>
        </w:r>
      </w:hyperlink>
      <w:r>
        <w:rPr>
          <w:rFonts w:eastAsia="Calibri" w:cs="Calibri"/>
          <w:i/>
          <w:iCs/>
          <w:color w:val="000000"/>
          <w:sz w:val="16"/>
          <w:szCs w:val="16"/>
        </w:rPr>
        <w:t xml:space="preserve"> )</w:t>
      </w:r>
    </w:p>
    <w:p>
      <w:pPr>
        <w:pStyle w:val="Normal"/>
        <w:spacing w:lineRule="auto" w:line="240" w:before="0" w:after="0"/>
        <w:jc w:val="both"/>
        <w:rPr>
          <w:i/>
          <w:i/>
          <w:iCs/>
          <w:color w:val="000000"/>
          <w:sz w:val="16"/>
          <w:szCs w:val="16"/>
        </w:rPr>
      </w:pPr>
      <w:r>
        <w:rPr>
          <w:i/>
          <w:iCs/>
          <w:color w:val="000000"/>
          <w:sz w:val="16"/>
          <w:szCs w:val="16"/>
        </w:rPr>
      </w:r>
    </w:p>
    <w:p>
      <w:pPr>
        <w:pStyle w:val="ListParagraph"/>
        <w:numPr>
          <w:ilvl w:val="0"/>
          <w:numId w:val="16"/>
        </w:numPr>
        <w:spacing w:lineRule="auto" w:line="240" w:before="0" w:after="0"/>
        <w:ind w:left="720" w:right="0" w:hanging="360"/>
        <w:contextualSpacing/>
        <w:jc w:val="both"/>
        <w:rPr>
          <w:i/>
          <w:i/>
          <w:iCs/>
          <w:color w:val="000000"/>
          <w:sz w:val="16"/>
          <w:szCs w:val="16"/>
        </w:rPr>
      </w:pPr>
      <w:r>
        <w:rPr>
          <w:i/>
          <w:iCs/>
          <w:color w:val="000000"/>
          <w:sz w:val="16"/>
          <w:szCs w:val="16"/>
        </w:rPr>
        <w:t xml:space="preserve">postupy podávania podnetov a odvolaní zo strany študenta. </w:t>
      </w:r>
    </w:p>
    <w:p>
      <w:pPr>
        <w:pStyle w:val="Normal"/>
        <w:ind w:left="709" w:right="0" w:hanging="0"/>
        <w:rPr/>
      </w:pPr>
      <w:r>
        <w:rPr>
          <w:rFonts w:eastAsia="Calibri" w:cs="Calibri"/>
          <w:i/>
          <w:iCs/>
          <w:color w:val="000000"/>
          <w:sz w:val="16"/>
          <w:szCs w:val="16"/>
        </w:rPr>
        <w:t>Pri podávaní podnetov a odvolaní zo strany študentov sa postupy týkajúce sa prijatia na školu, skúšok, ubytovania alebo trestnej činnosti riadia zákonom o sťažnostiach č. 9/2010 Z.z. a jeho novelou č. 94/2017 Z.z. (</w:t>
      </w:r>
      <w:hyperlink r:id="rId16">
        <w:r>
          <w:rPr>
            <w:rStyle w:val="InternetLink"/>
            <w:rFonts w:eastAsia="Calibri" w:cs="Calibri"/>
            <w:i/>
            <w:iCs/>
            <w:color w:val="000000"/>
            <w:sz w:val="16"/>
            <w:szCs w:val="16"/>
          </w:rPr>
          <w:t>https://www.aspi.sk/products/lawText/1/88314/1/2/zakon-c-94-2017-zz-ktorym-sa-meni-a-doplna-zakon-c-9-2010-zz-o-staznostiach-v-zneni-neskorsich-predpisov/zakon-c-94-2017-zz-ktorym-sa-meni-a-doplna-zakon-c-9-2010-zz-o-staznostiach-v-zneni-neskorsich-predpisov</w:t>
        </w:r>
      </w:hyperlink>
      <w:r>
        <w:rPr>
          <w:rFonts w:eastAsia="Calibri" w:cs="Calibri"/>
          <w:i/>
          <w:iCs/>
          <w:color w:val="000000"/>
          <w:sz w:val="16"/>
          <w:szCs w:val="16"/>
        </w:rPr>
        <w:t xml:space="preserve"> )</w:t>
      </w:r>
    </w:p>
    <w:p>
      <w:pPr>
        <w:pStyle w:val="Normal"/>
        <w:spacing w:lineRule="auto" w:line="216"/>
        <w:ind w:left="709" w:right="0" w:hanging="0"/>
        <w:rPr/>
      </w:pPr>
      <w:r>
        <w:rPr>
          <w:rFonts w:eastAsia="Calibri" w:cs="Calibri"/>
          <w:i/>
          <w:iCs/>
          <w:color w:val="000000"/>
          <w:sz w:val="16"/>
          <w:szCs w:val="16"/>
        </w:rPr>
        <w:t xml:space="preserve">Na základe odôvodneného prípadu má študent možnosť požiadať o nápravu výsledkov hodnotenia. Študent má z daného predmetu v akademickom roku, v ktorom je predmet zapísaný, právo na dva opravné termíny skúšky v rámci vypísaných termínov skúšok a harmonogramu akademického roku. Na žiadosť študenta umožní skúšajúci opravnú skúšku aj v prípade, že riadny termín skúšky študent absolvoval úspešne. Do MAIS sa zapíše opravný termín skúšky.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(viď. </w:t>
      </w:r>
      <w:r>
        <w:rPr>
          <w:rFonts w:eastAsia="Calibri" w:cs="Calibri"/>
          <w:color w:val="000000"/>
          <w:sz w:val="16"/>
          <w:szCs w:val="16"/>
        </w:rPr>
        <w:t xml:space="preserve">Študijný poriadok PU: </w:t>
      </w:r>
      <w:hyperlink r:id="rId17">
        <w:r>
          <w:rPr>
            <w:rStyle w:val="InternetLink"/>
          </w:rPr>
          <w:t>https://www.unipo.sk/public/media/0190/STUD%2024.9.18%20pdf.pdf</w:t>
        </w:r>
      </w:hyperlink>
      <w:r>
        <w:rPr>
          <w:rStyle w:val="InternetLink"/>
          <w:rFonts w:eastAsia="Calibri" w:cs="Calibri"/>
          <w:color w:val="000000"/>
          <w:sz w:val="16"/>
          <w:szCs w:val="16"/>
        </w:rPr>
        <w:t>)</w:t>
      </w:r>
    </w:p>
    <w:p>
      <w:pPr>
        <w:pStyle w:val="ListParagraph"/>
        <w:spacing w:lineRule="auto" w:line="240" w:before="0" w:after="0"/>
        <w:ind w:left="360" w:right="0" w:hanging="0"/>
        <w:contextualSpacing/>
        <w:jc w:val="both"/>
        <w:rPr>
          <w:rFonts w:cs="Calibri"/>
          <w:sz w:val="16"/>
          <w:szCs w:val="16"/>
        </w:rPr>
      </w:pPr>
      <w:r>
        <w:rPr>
          <w:rFonts w:cs="Calibri"/>
          <w:sz w:val="16"/>
          <w:szCs w:val="16"/>
        </w:rPr>
      </w:r>
    </w:p>
    <w:p>
      <w:pPr>
        <w:pStyle w:val="ListParagraph"/>
        <w:numPr>
          <w:ilvl w:val="0"/>
          <w:numId w:val="1"/>
        </w:numPr>
        <w:spacing w:lineRule="auto" w:line="240" w:before="0" w:after="0"/>
        <w:ind w:left="360" w:right="0" w:hanging="360"/>
        <w:contextualSpacing/>
        <w:jc w:val="both"/>
        <w:rPr>
          <w:rFonts w:cs="Calibri"/>
          <w:b/>
          <w:b/>
          <w:bCs/>
          <w:sz w:val="16"/>
          <w:szCs w:val="16"/>
        </w:rPr>
      </w:pPr>
      <w:r>
        <w:rPr>
          <w:rFonts w:cs="Calibri"/>
          <w:b/>
          <w:bCs/>
          <w:sz w:val="16"/>
          <w:szCs w:val="16"/>
        </w:rPr>
        <w:t xml:space="preserve">Informačné listy predmetov študijného programu </w:t>
      </w:r>
    </w:p>
    <w:p>
      <w:pPr>
        <w:pStyle w:val="Normal"/>
        <w:ind w:left="0" w:right="0" w:firstLine="426"/>
        <w:rPr/>
      </w:pPr>
      <w:r>
        <w:rPr>
          <w:rFonts w:cs="Calibri"/>
          <w:i/>
          <w:iCs/>
          <w:sz w:val="16"/>
          <w:szCs w:val="16"/>
        </w:rPr>
        <w:t xml:space="preserve">       </w:t>
      </w:r>
      <w:r>
        <w:rPr>
          <w:rFonts w:eastAsia="Calibri" w:cs="Calibri"/>
          <w:i/>
          <w:iCs/>
          <w:color w:val="000000"/>
          <w:sz w:val="16"/>
          <w:szCs w:val="16"/>
        </w:rPr>
        <w:t xml:space="preserve">Informačné listy predmetov sú dostupné na: </w:t>
      </w:r>
      <w:hyperlink r:id="rId18" w:tgtFrame="https://student.unipo.sk/maisportal/studijneprogramy.mais">
        <w:r>
          <w:rPr>
            <w:rFonts w:eastAsia="Calibri" w:cs="Calibri"/>
            <w:i/>
            <w:iCs/>
            <w:color w:val="000000"/>
            <w:sz w:val="16"/>
            <w:szCs w:val="16"/>
          </w:rPr>
          <w:t>https://student.unipo.sk/maisportal/studijneProgramy.mais</w:t>
        </w:r>
      </w:hyperlink>
    </w:p>
    <w:p>
      <w:pPr>
        <w:pStyle w:val="ListParagraph"/>
        <w:numPr>
          <w:ilvl w:val="0"/>
          <w:numId w:val="1"/>
        </w:numPr>
        <w:spacing w:lineRule="auto" w:line="240" w:before="0" w:after="0"/>
        <w:ind w:left="360" w:right="0" w:hanging="360"/>
        <w:contextualSpacing/>
        <w:rPr/>
      </w:pPr>
      <w:r>
        <w:rPr>
          <w:rFonts w:cs="Calibri"/>
          <w:b/>
          <w:bCs/>
          <w:sz w:val="16"/>
          <w:szCs w:val="16"/>
        </w:rPr>
        <w:t xml:space="preserve">Aktuálny harmonogram akademického roka a aktuálny rozvrh </w:t>
      </w:r>
      <w:r>
        <w:rPr>
          <w:rFonts w:cs="Calibri"/>
          <w:sz w:val="16"/>
          <w:szCs w:val="16"/>
        </w:rPr>
        <w:t xml:space="preserve">(alebo hypertextový odkaz). </w:t>
      </w:r>
    </w:p>
    <w:p>
      <w:pPr>
        <w:pStyle w:val="ListParagraph"/>
        <w:spacing w:lineRule="auto" w:line="240" w:before="0" w:after="0"/>
        <w:ind w:left="360" w:right="0" w:hanging="0"/>
        <w:contextualSpacing/>
        <w:rPr/>
      </w:pPr>
      <w:r>
        <w:rPr>
          <w:rFonts w:cs="Calibri"/>
          <w:b/>
          <w:bCs/>
          <w:sz w:val="16"/>
          <w:szCs w:val="16"/>
        </w:rPr>
        <w:t xml:space="preserve"> </w:t>
      </w:r>
      <w:r>
        <w:rPr>
          <w:rFonts w:eastAsia="Calibri" w:cs="Calibri"/>
          <w:i/>
          <w:iCs/>
          <w:color w:val="000000"/>
          <w:sz w:val="16"/>
          <w:szCs w:val="16"/>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 xml:space="preserve">Študijné programy vytvára v MAIS fakultný/ katedrový/ / inštitútový správca predmetov štúdia a správca odporúčaného študijného programu (OŠP) a do rozvrhu ich nasadzuje fakultný/katedrový rozvrhár. Fakultný/ katedrový/ inštitucionálny rozvrhár nasadzuje predmety, ktoré sú schválené v študijnom programe. </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Aktuálny upravený harmonogram akademického roka sa nachádza na stránke  PU v časti – študenti. Dostupné z</w:t>
      </w:r>
    </w:p>
    <w:p>
      <w:pPr>
        <w:pStyle w:val="ListParagraph"/>
        <w:spacing w:lineRule="auto" w:line="240" w:before="0" w:after="0"/>
        <w:ind w:left="360" w:right="0" w:hanging="0"/>
        <w:contextualSpacing/>
        <w:rPr/>
      </w:pPr>
      <w:hyperlink r:id="rId19">
        <w:r>
          <w:rPr>
            <w:rStyle w:val="InternetLink"/>
            <w:rFonts w:eastAsia="Calibri" w:cs="Calibri"/>
            <w:i/>
            <w:iCs/>
            <w:color w:val="000000"/>
            <w:sz w:val="16"/>
            <w:szCs w:val="16"/>
          </w:rPr>
          <w:t>https://www.unipo.sk/vseobecne-informacie/studenti/harmonogram/</w:t>
        </w:r>
      </w:hyperlink>
    </w:p>
    <w:p>
      <w:pPr>
        <w:pStyle w:val="ListParagraph"/>
        <w:spacing w:lineRule="auto" w:line="240" w:before="0" w:after="0"/>
        <w:ind w:left="360" w:right="0" w:hanging="0"/>
        <w:contextualSpacing/>
        <w:rPr/>
      </w:pPr>
      <w:r>
        <w:rPr>
          <w:rFonts w:eastAsia="Calibri" w:cs="Calibri"/>
          <w:i/>
          <w:iCs/>
          <w:color w:val="000000"/>
          <w:sz w:val="16"/>
          <w:szCs w:val="16"/>
        </w:rPr>
        <w:t xml:space="preserve">Rozvrh je dostupný na verejnom portáli MAIS: </w:t>
      </w:r>
      <w:hyperlink r:id="rId20" w:tgtFrame="https://student.unipo.sk/maisportal/rozvrhy.mais">
        <w:r>
          <w:rPr>
            <w:rFonts w:eastAsia="Calibri" w:cs="Calibri"/>
            <w:i/>
            <w:iCs/>
            <w:color w:val="000000"/>
            <w:sz w:val="16"/>
            <w:szCs w:val="16"/>
          </w:rPr>
          <w:t>https://student.unipo.sk/maisportal/rozvrhy.mais</w:t>
        </w:r>
      </w:hyperlink>
    </w:p>
    <w:p>
      <w:pPr>
        <w:pStyle w:val="ListParagraph"/>
        <w:spacing w:lineRule="auto" w:line="240" w:before="0" w:after="0"/>
        <w:ind w:left="360" w:right="0" w:hanging="0"/>
        <w:contextualSpacing/>
        <w:rPr>
          <w:rFonts w:cs="Calibri"/>
          <w:b/>
          <w:b/>
          <w:bCs/>
          <w:sz w:val="16"/>
          <w:szCs w:val="16"/>
        </w:rPr>
      </w:pPr>
      <w:r>
        <w:rPr>
          <w:rFonts w:cs="Calibri"/>
          <w:b/>
          <w:bCs/>
          <w:sz w:val="16"/>
          <w:szCs w:val="16"/>
        </w:rPr>
      </w:r>
    </w:p>
    <w:p>
      <w:pPr>
        <w:pStyle w:val="ListParagraph"/>
        <w:numPr>
          <w:ilvl w:val="0"/>
          <w:numId w:val="1"/>
        </w:numPr>
        <w:spacing w:lineRule="auto" w:line="240" w:before="0" w:after="0"/>
        <w:ind w:left="360" w:right="0" w:hanging="360"/>
        <w:contextualSpacing/>
        <w:rPr>
          <w:rFonts w:cs="Calibri"/>
          <w:b/>
          <w:b/>
          <w:bCs/>
          <w:sz w:val="16"/>
          <w:szCs w:val="16"/>
        </w:rPr>
      </w:pPr>
      <w:r>
        <w:rPr>
          <w:rFonts w:cs="Calibri"/>
          <w:b/>
          <w:bCs/>
          <w:sz w:val="16"/>
          <w:szCs w:val="16"/>
        </w:rPr>
        <w:t xml:space="preserve">Personálne zabezpečenie študijného programu </w:t>
      </w:r>
    </w:p>
    <w:p>
      <w:pPr>
        <w:pStyle w:val="ListParagraph"/>
        <w:numPr>
          <w:ilvl w:val="0"/>
          <w:numId w:val="12"/>
        </w:numPr>
        <w:spacing w:lineRule="auto" w:line="259" w:before="0" w:after="160"/>
        <w:ind w:left="360" w:right="0" w:hanging="360"/>
        <w:contextualSpacing/>
        <w:rPr>
          <w:rFonts w:cs="Calibri"/>
          <w:sz w:val="16"/>
          <w:szCs w:val="16"/>
        </w:rPr>
      </w:pPr>
      <w:r>
        <w:rPr>
          <w:rFonts w:cs="Calibri"/>
          <w:sz w:val="16"/>
          <w:szCs w:val="16"/>
        </w:rPr>
        <w:t>Osoba zodpovedná za uskutočňovanie, rozvoj a kvalitu študijného programu (s uvedením funkcie a kontaktu).</w:t>
      </w:r>
    </w:p>
    <w:p>
      <w:pPr>
        <w:pStyle w:val="ListParagraph"/>
        <w:ind w:left="360" w:right="0" w:hanging="0"/>
        <w:rPr/>
      </w:pPr>
      <w:r>
        <w:rPr>
          <w:rFonts w:cs="Calibri"/>
          <w:i/>
          <w:sz w:val="16"/>
          <w:szCs w:val="16"/>
        </w:rPr>
        <w:t xml:space="preserve">Dr. hab. Peter Kocák, PhD., akademický maliar, mimoriadny profesor, </w:t>
      </w:r>
      <w:hyperlink r:id="rId21">
        <w:r>
          <w:rPr>
            <w:rStyle w:val="InternetLink"/>
            <w:rFonts w:cs="Calibri"/>
            <w:i/>
            <w:sz w:val="16"/>
            <w:szCs w:val="16"/>
          </w:rPr>
          <w:t>peter.kocak@unipo.sk</w:t>
        </w:r>
      </w:hyperlink>
    </w:p>
    <w:p>
      <w:pPr>
        <w:pStyle w:val="ListParagraph"/>
        <w:ind w:left="360" w:right="0" w:hanging="0"/>
        <w:rPr>
          <w:rFonts w:cs="Calibri"/>
          <w:i/>
          <w:i/>
          <w:sz w:val="16"/>
          <w:szCs w:val="16"/>
        </w:rPr>
      </w:pPr>
      <w:r>
        <w:rPr>
          <w:rFonts w:cs="Calibri"/>
          <w:i/>
          <w:sz w:val="16"/>
          <w:szCs w:val="16"/>
        </w:rPr>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Zoznam osôb zabezpečujúcich profilové predmety študijného programu s priradením k predmetu s prepojením na centrálny Register zamestnancov vysokých škôl, s kontaktom (môžu byť uvedení aj v študijnom pláne).</w:t>
      </w:r>
    </w:p>
    <w:p>
      <w:pPr>
        <w:pStyle w:val="ListParagraph"/>
        <w:numPr>
          <w:ilvl w:val="0"/>
          <w:numId w:val="12"/>
        </w:numPr>
        <w:spacing w:lineRule="auto" w:line="259" w:before="0" w:after="160"/>
        <w:ind w:left="360" w:right="0" w:hanging="360"/>
        <w:contextualSpacing/>
        <w:rPr/>
      </w:pPr>
      <w:r>
        <w:rPr>
          <w:rFonts w:cs="Calibri"/>
          <w:i/>
          <w:sz w:val="16"/>
          <w:szCs w:val="16"/>
        </w:rPr>
        <w:t xml:space="preserve">dr. hab. Peter Kocák, PhD., akademický maliar, </w:t>
      </w:r>
      <w:hyperlink r:id="rId22">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23">
        <w:r>
          <w:rPr>
            <w:rStyle w:val="InternetLink"/>
            <w:rFonts w:cs="Calibri"/>
            <w:i/>
            <w:sz w:val="16"/>
            <w:szCs w:val="16"/>
          </w:rPr>
          <w:t>vladislav.grešlik@unipo.sk</w:t>
        </w:r>
      </w:hyperlink>
    </w:p>
    <w:p>
      <w:pPr>
        <w:pStyle w:val="ListParagraph"/>
        <w:ind w:left="360" w:right="0" w:hanging="0"/>
        <w:rPr/>
      </w:pPr>
      <w:r>
        <w:rPr>
          <w:rFonts w:cs="Calibri"/>
          <w:i/>
          <w:sz w:val="16"/>
          <w:szCs w:val="16"/>
        </w:rPr>
        <w:t xml:space="preserve">doc. Martin Zbojan,PhD., akademický maliar,  </w:t>
      </w:r>
      <w:hyperlink r:id="rId24">
        <w:r>
          <w:rPr>
            <w:rStyle w:val="InternetLink"/>
            <w:rFonts w:cs="Calibri"/>
            <w:i/>
            <w:sz w:val="16"/>
            <w:szCs w:val="16"/>
          </w:rPr>
          <w:t>martin.zbojan@unipo.sk</w:t>
        </w:r>
      </w:hyperlink>
    </w:p>
    <w:p>
      <w:pPr>
        <w:pStyle w:val="ListParagraph"/>
        <w:ind w:left="360" w:right="0" w:hanging="0"/>
        <w:rPr>
          <w:rFonts w:cs="Calibri"/>
          <w:i/>
          <w:i/>
          <w:sz w:val="16"/>
          <w:szCs w:val="16"/>
        </w:rPr>
      </w:pPr>
      <w:r>
        <w:rPr>
          <w:rFonts w:cs="Calibri"/>
          <w:i/>
          <w:sz w:val="16"/>
          <w:szCs w:val="16"/>
        </w:rPr>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 xml:space="preserve">Odkaz na vedecko/umelecko-pedagogické charakteristiky osôb zabezpečujúcich profilové predmety študijného programu. </w:t>
      </w:r>
    </w:p>
    <w:p>
      <w:pPr>
        <w:pStyle w:val="ListParagraph"/>
        <w:numPr>
          <w:ilvl w:val="0"/>
          <w:numId w:val="12"/>
        </w:numPr>
        <w:spacing w:lineRule="auto" w:line="259" w:before="0" w:after="160"/>
        <w:ind w:left="360" w:right="0" w:hanging="360"/>
        <w:contextualSpacing/>
        <w:rPr/>
      </w:pPr>
      <w:r>
        <w:rPr>
          <w:rFonts w:cs="Calibri"/>
          <w:i/>
          <w:sz w:val="16"/>
          <w:szCs w:val="16"/>
        </w:rPr>
        <w:t xml:space="preserve">dr. hab. Peter Kocák, PhD., akademický maliar, </w:t>
      </w:r>
      <w:hyperlink r:id="rId25">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26">
        <w:r>
          <w:rPr>
            <w:rStyle w:val="InternetLink"/>
            <w:rFonts w:cs="Calibri"/>
            <w:i/>
            <w:sz w:val="16"/>
            <w:szCs w:val="16"/>
          </w:rPr>
          <w:t>vladislav.grešlik@unipo.sk</w:t>
        </w:r>
      </w:hyperlink>
    </w:p>
    <w:p>
      <w:pPr>
        <w:pStyle w:val="ListParagraph"/>
        <w:ind w:left="360" w:right="0" w:hanging="0"/>
        <w:rPr/>
      </w:pPr>
      <w:r>
        <w:rPr>
          <w:rFonts w:cs="Calibri"/>
          <w:i/>
          <w:sz w:val="16"/>
          <w:szCs w:val="16"/>
        </w:rPr>
        <w:t xml:space="preserve">doc. Martin Zbojan,PhD., akademický maliar,  </w:t>
      </w:r>
      <w:hyperlink r:id="rId27">
        <w:r>
          <w:rPr>
            <w:rStyle w:val="InternetLink"/>
            <w:rFonts w:cs="Calibri"/>
            <w:i/>
            <w:sz w:val="16"/>
            <w:szCs w:val="16"/>
          </w:rPr>
          <w:t>martin.zbojan@unipo.sk</w:t>
        </w:r>
      </w:hyperlink>
    </w:p>
    <w:p>
      <w:pPr>
        <w:pStyle w:val="ListParagraph"/>
        <w:ind w:left="360" w:right="0" w:hanging="0"/>
        <w:rPr>
          <w:rFonts w:cs="Calibri"/>
          <w:i/>
          <w:i/>
          <w:sz w:val="16"/>
          <w:szCs w:val="16"/>
        </w:rPr>
      </w:pPr>
      <w:r>
        <w:rPr>
          <w:rFonts w:cs="Calibri"/>
          <w:i/>
          <w:sz w:val="16"/>
          <w:szCs w:val="16"/>
        </w:rPr>
      </w:r>
    </w:p>
    <w:p>
      <w:pPr>
        <w:pStyle w:val="ListParagraph"/>
        <w:spacing w:lineRule="auto" w:line="240" w:before="0" w:after="0"/>
        <w:ind w:left="360" w:right="0" w:hanging="0"/>
        <w:contextualSpacing/>
        <w:rPr>
          <w:rFonts w:cs="Calibri"/>
          <w:sz w:val="16"/>
          <w:szCs w:val="16"/>
        </w:rPr>
      </w:pPr>
      <w:r>
        <w:rPr>
          <w:rFonts w:cs="Calibri"/>
          <w:sz w:val="16"/>
          <w:szCs w:val="16"/>
        </w:rPr>
        <w:t xml:space="preserve">         </w:t>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 xml:space="preserve">Zoznam učiteľov študijného programu s priradením k predmetu a prepojením na centrálny register zamestnancov vysokých škôl,  s uvedením kontaktov (môže byť súčasťou študijného plánu). </w:t>
      </w:r>
    </w:p>
    <w:p>
      <w:pPr>
        <w:pStyle w:val="ListParagraph"/>
        <w:numPr>
          <w:ilvl w:val="0"/>
          <w:numId w:val="12"/>
        </w:numPr>
        <w:spacing w:lineRule="auto" w:line="259" w:before="0" w:after="160"/>
        <w:ind w:left="360" w:right="0" w:hanging="360"/>
        <w:contextualSpacing/>
        <w:rPr/>
      </w:pPr>
      <w:r>
        <w:rPr>
          <w:rFonts w:cs="Calibri"/>
          <w:i/>
          <w:sz w:val="16"/>
          <w:szCs w:val="16"/>
        </w:rPr>
        <w:t xml:space="preserve">dr. hab. Peter Kocák, PhD., akademický maliar, </w:t>
      </w:r>
      <w:hyperlink r:id="rId28">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29">
        <w:r>
          <w:rPr>
            <w:rStyle w:val="InternetLink"/>
            <w:rFonts w:cs="Calibri"/>
            <w:i/>
            <w:sz w:val="16"/>
            <w:szCs w:val="16"/>
          </w:rPr>
          <w:t>vladislav.grešlik@unipo.sk</w:t>
        </w:r>
      </w:hyperlink>
    </w:p>
    <w:p>
      <w:pPr>
        <w:pStyle w:val="Normal"/>
        <w:spacing w:lineRule="auto" w:line="240" w:before="0" w:after="0"/>
        <w:ind w:left="709" w:right="0" w:hanging="0"/>
        <w:jc w:val="both"/>
        <w:rPr/>
      </w:pPr>
      <w:r>
        <w:rPr>
          <w:rFonts w:cs="Calibri"/>
          <w:i/>
          <w:sz w:val="16"/>
          <w:szCs w:val="16"/>
        </w:rPr>
        <w:t xml:space="preserve">doc. Martin Zbojan,PhD., akademický maliar,  </w:t>
      </w:r>
      <w:hyperlink r:id="rId30">
        <w:r>
          <w:rPr>
            <w:rStyle w:val="InternetLink"/>
            <w:rFonts w:cs="Calibri"/>
            <w:i/>
            <w:sz w:val="16"/>
            <w:szCs w:val="16"/>
          </w:rPr>
          <w:t>martin.zbojan@unipo.sk</w:t>
        </w:r>
      </w:hyperlink>
      <w:r>
        <w:rPr>
          <w:i/>
          <w:iCs/>
          <w:color w:val="000000"/>
          <w:sz w:val="16"/>
          <w:szCs w:val="16"/>
        </w:rPr>
        <w:t xml:space="preserve"> </w:t>
      </w:r>
    </w:p>
    <w:p>
      <w:pPr>
        <w:pStyle w:val="Normal"/>
        <w:spacing w:lineRule="auto" w:line="240" w:before="0" w:after="0"/>
        <w:ind w:left="709" w:right="0" w:hanging="0"/>
        <w:jc w:val="both"/>
        <w:rPr/>
      </w:pPr>
      <w:r>
        <w:rPr>
          <w:i/>
          <w:iCs/>
          <w:color w:val="000000"/>
          <w:sz w:val="16"/>
          <w:szCs w:val="16"/>
        </w:rPr>
        <w:t>Mgr. Adam Macko, PhD., adam.macko</w:t>
      </w:r>
      <w:r>
        <w:rPr>
          <w:i/>
          <w:iCs/>
          <w:color w:val="000000"/>
          <w:sz w:val="16"/>
          <w:szCs w:val="16"/>
          <w:lang w:val="en-US"/>
        </w:rPr>
        <w:t>@unipo.sk</w:t>
      </w:r>
    </w:p>
    <w:p>
      <w:pPr>
        <w:pStyle w:val="Normal"/>
        <w:spacing w:lineRule="auto" w:line="240" w:before="0" w:after="0"/>
        <w:ind w:left="709" w:right="0" w:hanging="0"/>
        <w:jc w:val="both"/>
        <w:rPr/>
      </w:pPr>
      <w:r>
        <w:rPr>
          <w:i/>
          <w:iCs/>
          <w:color w:val="000000"/>
          <w:sz w:val="16"/>
          <w:szCs w:val="16"/>
        </w:rPr>
        <w:t xml:space="preserve">Mgr. art. Jaroslav Ondo, ArtD. </w:t>
      </w:r>
      <w:hyperlink r:id="rId31">
        <w:r>
          <w:rPr>
            <w:rStyle w:val="InternetLink"/>
            <w:i/>
            <w:iCs/>
            <w:sz w:val="16"/>
            <w:szCs w:val="16"/>
          </w:rPr>
          <w:t>jaroslav.ondo@unipo.sk</w:t>
        </w:r>
      </w:hyperlink>
    </w:p>
    <w:p>
      <w:pPr>
        <w:pStyle w:val="Normal"/>
        <w:spacing w:lineRule="auto" w:line="240" w:before="0" w:after="0"/>
        <w:ind w:left="709" w:right="0" w:hanging="0"/>
        <w:jc w:val="both"/>
        <w:rPr/>
      </w:pPr>
      <w:r>
        <w:rPr>
          <w:i/>
          <w:iCs/>
          <w:color w:val="000000"/>
          <w:sz w:val="16"/>
          <w:szCs w:val="16"/>
        </w:rPr>
        <w:t xml:space="preserve">Mgr. art. Vladimír Ganaj, ArtD., </w:t>
      </w:r>
      <w:hyperlink r:id="rId32">
        <w:r>
          <w:rPr>
            <w:rStyle w:val="InternetLink"/>
            <w:i/>
            <w:iCs/>
            <w:sz w:val="16"/>
            <w:szCs w:val="16"/>
          </w:rPr>
          <w:t>vladimir.ganaj@unipo.sk</w:t>
        </w:r>
      </w:hyperlink>
    </w:p>
    <w:p>
      <w:pPr>
        <w:pStyle w:val="Normal"/>
        <w:spacing w:lineRule="auto" w:line="240" w:before="0" w:after="0"/>
        <w:ind w:left="709" w:right="0" w:hanging="0"/>
        <w:jc w:val="both"/>
        <w:rPr/>
      </w:pPr>
      <w:r>
        <w:rPr>
          <w:i/>
          <w:iCs/>
          <w:color w:val="000000"/>
          <w:sz w:val="16"/>
          <w:szCs w:val="16"/>
        </w:rPr>
        <w:t xml:space="preserve">Mgr. art. Radka Baňacká, ArtD., </w:t>
      </w:r>
      <w:hyperlink r:id="rId33">
        <w:r>
          <w:rPr>
            <w:rStyle w:val="InternetLink"/>
            <w:i/>
            <w:iCs/>
            <w:sz w:val="16"/>
            <w:szCs w:val="16"/>
          </w:rPr>
          <w:t>jan.zelinka@unipo.sk</w:t>
        </w:r>
      </w:hyperlink>
    </w:p>
    <w:p>
      <w:pPr>
        <w:pStyle w:val="ListParagraph"/>
        <w:ind w:left="360" w:right="0" w:hanging="0"/>
        <w:rPr>
          <w:rFonts w:cs="Calibri"/>
          <w:i/>
          <w:i/>
          <w:sz w:val="16"/>
          <w:szCs w:val="16"/>
        </w:rPr>
      </w:pPr>
      <w:r>
        <w:rPr>
          <w:rFonts w:cs="Calibri"/>
          <w:i/>
          <w:sz w:val="16"/>
          <w:szCs w:val="16"/>
        </w:rPr>
      </w:r>
    </w:p>
    <w:p>
      <w:pPr>
        <w:pStyle w:val="ListParagraph"/>
        <w:ind w:left="360" w:right="0" w:hanging="360"/>
        <w:rPr>
          <w:rFonts w:cs="Calibri"/>
          <w:i/>
          <w:i/>
          <w:iCs/>
          <w:color w:val="000000"/>
          <w:sz w:val="16"/>
          <w:szCs w:val="16"/>
        </w:rPr>
      </w:pPr>
      <w:r>
        <w:rPr>
          <w:rFonts w:cs="Calibri"/>
          <w:i/>
          <w:iCs/>
          <w:color w:val="000000"/>
          <w:sz w:val="16"/>
          <w:szCs w:val="16"/>
        </w:rPr>
        <w:t xml:space="preserve">          </w:t>
      </w:r>
      <w:r>
        <w:rPr>
          <w:rFonts w:cs="Calibri"/>
          <w:i/>
          <w:iCs/>
          <w:color w:val="000000"/>
          <w:sz w:val="16"/>
          <w:szCs w:val="16"/>
        </w:rPr>
        <w:t>Priradenie k predmetu je súčasťou študijného plánu (viď tabuľka vyššie).</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 xml:space="preserve">Zoznam školiteľov záverečných prác s priradením k témam (s uvedením kontaktov).  </w:t>
      </w:r>
    </w:p>
    <w:p>
      <w:pPr>
        <w:pStyle w:val="ListParagraph"/>
        <w:numPr>
          <w:ilvl w:val="0"/>
          <w:numId w:val="12"/>
        </w:numPr>
        <w:spacing w:lineRule="auto" w:line="259" w:before="0" w:after="160"/>
        <w:ind w:left="360" w:right="0" w:hanging="360"/>
        <w:contextualSpacing/>
        <w:rPr/>
      </w:pPr>
      <w:r>
        <w:rPr>
          <w:rFonts w:cs="Calibri"/>
          <w:b/>
          <w:i/>
          <w:sz w:val="16"/>
          <w:szCs w:val="16"/>
        </w:rPr>
        <w:t>dr. hab. Peter Kocák, PhD., akademický maliar</w:t>
      </w:r>
      <w:r>
        <w:rPr>
          <w:rFonts w:cs="Calibri"/>
          <w:i/>
          <w:sz w:val="16"/>
          <w:szCs w:val="16"/>
        </w:rPr>
        <w:t xml:space="preserve">, </w:t>
      </w:r>
      <w:hyperlink r:id="rId34">
        <w:r>
          <w:rPr>
            <w:rStyle w:val="InternetLink"/>
            <w:rFonts w:cs="Calibri"/>
            <w:i/>
            <w:sz w:val="16"/>
            <w:szCs w:val="16"/>
          </w:rPr>
          <w:t>peter.kocak@unipo.sk</w:t>
        </w:r>
      </w:hyperlink>
    </w:p>
    <w:p>
      <w:pPr>
        <w:pStyle w:val="ListParagraph"/>
        <w:ind w:left="360" w:right="0" w:hanging="0"/>
        <w:rPr/>
      </w:pPr>
      <w:r>
        <w:rPr>
          <w:rFonts w:cs="Calibri"/>
          <w:i/>
          <w:sz w:val="16"/>
          <w:szCs w:val="16"/>
        </w:rPr>
        <w:t>Súčasná mezzotinta na Slovensku a v zahraničí</w:t>
      </w:r>
      <w:r>
        <w:rPr>
          <w:i/>
          <w:iCs/>
          <w:color w:val="000000"/>
          <w:sz w:val="16"/>
          <w:szCs w:val="16"/>
        </w:rPr>
        <w:t xml:space="preserve"> </w:t>
      </w:r>
    </w:p>
    <w:p>
      <w:pPr>
        <w:pStyle w:val="ListParagraph"/>
        <w:ind w:left="360" w:right="0" w:hanging="0"/>
        <w:rPr/>
      </w:pPr>
      <w:r>
        <w:rPr>
          <w:rStyle w:val="Strong"/>
          <w:b w:val="false"/>
          <w:i/>
          <w:sz w:val="16"/>
          <w:szCs w:val="16"/>
        </w:rPr>
        <w:t>Exlibrisová tvorba Igora Piačku</w:t>
      </w:r>
    </w:p>
    <w:p>
      <w:pPr>
        <w:pStyle w:val="ListParagraph"/>
        <w:ind w:left="360" w:right="0" w:hanging="0"/>
        <w:rPr/>
      </w:pPr>
      <w:r>
        <w:rPr>
          <w:rStyle w:val="Strong"/>
          <w:b w:val="false"/>
          <w:i/>
          <w:sz w:val="16"/>
          <w:szCs w:val="16"/>
        </w:rPr>
        <w:t>Rea Šimlíková – Ex libris</w:t>
      </w:r>
    </w:p>
    <w:p>
      <w:pPr>
        <w:pStyle w:val="ListParagraph"/>
        <w:ind w:left="360" w:right="0" w:hanging="0"/>
        <w:rPr/>
      </w:pPr>
      <w:r>
        <w:rPr>
          <w:rStyle w:val="Strong"/>
          <w:b w:val="false"/>
          <w:i/>
          <w:sz w:val="16"/>
          <w:szCs w:val="16"/>
        </w:rPr>
        <w:t>Ex librisová tvorba Dušana Polakoviča</w:t>
      </w:r>
    </w:p>
    <w:p>
      <w:pPr>
        <w:pStyle w:val="ListParagraph"/>
        <w:ind w:left="360" w:right="0" w:hanging="0"/>
        <w:rPr/>
      </w:pPr>
      <w:r>
        <w:rPr>
          <w:rStyle w:val="Strong"/>
          <w:b w:val="false"/>
          <w:i/>
          <w:sz w:val="16"/>
          <w:szCs w:val="16"/>
        </w:rPr>
        <w:t>Medzi ilustráciou a umeleckým textom</w:t>
      </w:r>
    </w:p>
    <w:p>
      <w:pPr>
        <w:pStyle w:val="ListParagraph"/>
        <w:ind w:left="360" w:right="0" w:hanging="0"/>
        <w:rPr>
          <w:rFonts w:cs="Calibri"/>
          <w:i/>
          <w:i/>
          <w:sz w:val="16"/>
          <w:szCs w:val="16"/>
        </w:rPr>
      </w:pPr>
      <w:r>
        <w:rPr>
          <w:rFonts w:cs="Calibri"/>
          <w:i/>
          <w:sz w:val="16"/>
          <w:szCs w:val="16"/>
        </w:rPr>
      </w:r>
    </w:p>
    <w:p>
      <w:pPr>
        <w:pStyle w:val="ListParagraph"/>
        <w:ind w:left="360" w:right="0" w:hanging="0"/>
        <w:rPr/>
      </w:pPr>
      <w:r>
        <w:rPr>
          <w:rFonts w:cs="Calibri"/>
          <w:b/>
          <w:i/>
          <w:sz w:val="16"/>
          <w:szCs w:val="16"/>
        </w:rPr>
        <w:t>doc. Vladislav Grešlík, ArtD</w:t>
      </w:r>
      <w:r>
        <w:rPr>
          <w:rFonts w:cs="Calibri"/>
          <w:i/>
          <w:sz w:val="16"/>
          <w:szCs w:val="16"/>
        </w:rPr>
        <w:t xml:space="preserve">., </w:t>
      </w:r>
      <w:hyperlink r:id="rId35">
        <w:r>
          <w:rPr>
            <w:rStyle w:val="InternetLink"/>
            <w:rFonts w:cs="Calibri"/>
            <w:i/>
            <w:sz w:val="16"/>
            <w:szCs w:val="16"/>
          </w:rPr>
          <w:t>vladislav.grešlik@unipo.sk</w:t>
        </w:r>
      </w:hyperlink>
    </w:p>
    <w:p>
      <w:pPr>
        <w:pStyle w:val="ListParagraph"/>
        <w:ind w:left="360" w:right="0" w:hanging="0"/>
        <w:rPr>
          <w:i/>
          <w:i/>
          <w:iCs/>
          <w:color w:val="000000"/>
          <w:sz w:val="16"/>
          <w:szCs w:val="16"/>
        </w:rPr>
      </w:pPr>
      <w:r>
        <w:rPr>
          <w:i/>
          <w:iCs/>
          <w:color w:val="000000"/>
          <w:sz w:val="16"/>
          <w:szCs w:val="16"/>
        </w:rPr>
        <w:t>Kultúrno-historické pamiatky Trebišova a blízkeho okolia</w:t>
      </w:r>
    </w:p>
    <w:p>
      <w:pPr>
        <w:pStyle w:val="ListParagraph"/>
        <w:ind w:left="360" w:right="0" w:hanging="0"/>
        <w:rPr>
          <w:i/>
          <w:i/>
          <w:iCs/>
          <w:color w:val="000000"/>
          <w:sz w:val="16"/>
          <w:szCs w:val="16"/>
        </w:rPr>
      </w:pPr>
      <w:r>
        <w:rPr>
          <w:i/>
          <w:iCs/>
          <w:color w:val="000000"/>
          <w:sz w:val="16"/>
          <w:szCs w:val="16"/>
        </w:rPr>
      </w:r>
    </w:p>
    <w:p>
      <w:pPr>
        <w:pStyle w:val="ListParagraph"/>
        <w:ind w:left="360" w:right="0" w:hanging="0"/>
        <w:rPr>
          <w:rFonts w:cs="Calibri"/>
          <w:i/>
          <w:i/>
          <w:color w:val="0000FF"/>
          <w:sz w:val="16"/>
          <w:szCs w:val="16"/>
          <w:u w:val="single"/>
        </w:rPr>
      </w:pPr>
      <w:r>
        <w:rPr>
          <w:rFonts w:cs="Calibri"/>
          <w:i/>
          <w:color w:val="0000FF"/>
          <w:sz w:val="16"/>
          <w:szCs w:val="16"/>
          <w:u w:val="single"/>
        </w:rPr>
      </w:r>
    </w:p>
    <w:p>
      <w:pPr>
        <w:pStyle w:val="ListParagraph"/>
        <w:ind w:left="360" w:right="0" w:hanging="0"/>
        <w:rPr/>
      </w:pPr>
      <w:r>
        <w:rPr>
          <w:rFonts w:cs="Calibri"/>
          <w:b/>
          <w:i/>
          <w:sz w:val="16"/>
          <w:szCs w:val="16"/>
        </w:rPr>
        <w:t>doc. Martin Zbojan,PhD., akademický maliar</w:t>
      </w:r>
      <w:r>
        <w:rPr>
          <w:rFonts w:cs="Calibri"/>
          <w:i/>
          <w:sz w:val="16"/>
          <w:szCs w:val="16"/>
        </w:rPr>
        <w:t xml:space="preserve">,  </w:t>
      </w:r>
      <w:hyperlink r:id="rId36">
        <w:r>
          <w:rPr>
            <w:rStyle w:val="InternetLink"/>
            <w:rFonts w:cs="Calibri"/>
            <w:i/>
            <w:sz w:val="16"/>
            <w:szCs w:val="16"/>
          </w:rPr>
          <w:t>martin.zbojan@unipo.sk</w:t>
        </w:r>
      </w:hyperlink>
    </w:p>
    <w:p>
      <w:pPr>
        <w:pStyle w:val="ListParagraph"/>
        <w:ind w:left="360" w:right="0" w:hanging="0"/>
        <w:rPr>
          <w:rFonts w:cs="Calibri"/>
          <w:i/>
          <w:i/>
          <w:sz w:val="16"/>
          <w:szCs w:val="16"/>
        </w:rPr>
      </w:pPr>
      <w:r>
        <w:rPr>
          <w:rFonts w:cs="Calibri"/>
          <w:i/>
          <w:sz w:val="16"/>
          <w:szCs w:val="16"/>
        </w:rPr>
        <w:t>Piet Mondrian neoplasticizmus a skupina De Stijl Geometrická kompozícia</w:t>
      </w:r>
    </w:p>
    <w:p>
      <w:pPr>
        <w:pStyle w:val="ListParagraph"/>
        <w:ind w:left="360" w:right="0" w:hanging="0"/>
        <w:rPr/>
      </w:pPr>
      <w:r>
        <w:rPr>
          <w:rStyle w:val="Strong"/>
          <w:b w:val="false"/>
          <w:i/>
          <w:sz w:val="16"/>
          <w:szCs w:val="16"/>
        </w:rPr>
        <w:t>Socha Maratónca Arpáda Račka na Námestí Maratónu mieru v Košiciach.</w:t>
      </w:r>
    </w:p>
    <w:p>
      <w:pPr>
        <w:pStyle w:val="ListParagraph"/>
        <w:ind w:left="360" w:right="0" w:hanging="0"/>
        <w:rPr/>
      </w:pPr>
      <w:r>
        <w:rPr>
          <w:rStyle w:val="Strong"/>
          <w:b w:val="false"/>
          <w:i/>
          <w:sz w:val="16"/>
          <w:szCs w:val="16"/>
        </w:rPr>
        <w:t>Cyprián Majerník - slovenský moderný maliar</w:t>
      </w:r>
    </w:p>
    <w:p>
      <w:pPr>
        <w:pStyle w:val="ListParagraph"/>
        <w:ind w:left="360" w:right="0" w:hanging="0"/>
        <w:rPr/>
      </w:pPr>
      <w:r>
        <w:rPr>
          <w:rStyle w:val="Strong"/>
          <w:b w:val="false"/>
          <w:i/>
          <w:sz w:val="16"/>
          <w:szCs w:val="16"/>
        </w:rPr>
        <w:t>Prvky symbolizmu v diele Caspara Davida Friedricha</w:t>
      </w:r>
    </w:p>
    <w:p>
      <w:pPr>
        <w:pStyle w:val="ListParagraph"/>
        <w:ind w:left="360" w:right="0" w:hanging="0"/>
        <w:rPr/>
      </w:pPr>
      <w:r>
        <w:rPr>
          <w:rStyle w:val="Strong"/>
          <w:b w:val="false"/>
          <w:i/>
          <w:sz w:val="16"/>
          <w:szCs w:val="16"/>
        </w:rPr>
        <w:t>Sagrada Família Antonia Gaudího</w:t>
      </w:r>
    </w:p>
    <w:p>
      <w:pPr>
        <w:pStyle w:val="ListParagraph"/>
        <w:ind w:left="360" w:right="0" w:hanging="0"/>
        <w:rPr/>
      </w:pPr>
      <w:r>
        <w:rPr>
          <w:rStyle w:val="Strong"/>
          <w:b w:val="false"/>
          <w:i/>
          <w:sz w:val="16"/>
          <w:szCs w:val="16"/>
        </w:rPr>
        <w:t>Serigrafia v tvorbe umelcov Pop-artu</w:t>
      </w:r>
    </w:p>
    <w:p>
      <w:pPr>
        <w:pStyle w:val="ListParagraph"/>
        <w:ind w:left="360" w:right="0" w:hanging="0"/>
        <w:rPr>
          <w:i/>
          <w:i/>
          <w:iCs/>
          <w:color w:val="000000"/>
          <w:sz w:val="16"/>
          <w:szCs w:val="16"/>
        </w:rPr>
      </w:pPr>
      <w:r>
        <w:rPr>
          <w:i/>
          <w:iCs/>
          <w:color w:val="000000"/>
          <w:sz w:val="16"/>
          <w:szCs w:val="16"/>
        </w:rPr>
      </w:r>
    </w:p>
    <w:p>
      <w:pPr>
        <w:pStyle w:val="ListParagraph"/>
        <w:ind w:left="360" w:right="0" w:hanging="0"/>
        <w:rPr/>
      </w:pPr>
      <w:r>
        <w:rPr>
          <w:rFonts w:cs="Calibri"/>
          <w:b/>
          <w:i/>
          <w:sz w:val="16"/>
          <w:szCs w:val="16"/>
        </w:rPr>
        <w:t>Mgr. Jaroslav Ondo, PhD</w:t>
      </w:r>
      <w:r>
        <w:rPr>
          <w:rFonts w:cs="Calibri"/>
          <w:i/>
          <w:sz w:val="16"/>
          <w:szCs w:val="16"/>
        </w:rPr>
        <w:t xml:space="preserve">., </w:t>
      </w:r>
      <w:hyperlink r:id="rId37">
        <w:r>
          <w:rPr>
            <w:rStyle w:val="InternetLink"/>
            <w:rFonts w:cs="Calibri"/>
            <w:i/>
            <w:sz w:val="16"/>
            <w:szCs w:val="16"/>
          </w:rPr>
          <w:t>jaroslav.ondo@unipo.sk</w:t>
        </w:r>
      </w:hyperlink>
    </w:p>
    <w:p>
      <w:pPr>
        <w:pStyle w:val="ListParagraph"/>
        <w:ind w:left="360" w:right="0" w:hanging="0"/>
        <w:rPr>
          <w:iCs/>
          <w:color w:val="000000"/>
          <w:sz w:val="16"/>
          <w:szCs w:val="16"/>
        </w:rPr>
      </w:pPr>
      <w:r>
        <w:rPr>
          <w:iCs/>
          <w:color w:val="000000"/>
          <w:sz w:val="16"/>
          <w:szCs w:val="16"/>
        </w:rPr>
        <w:t>Akvarel v súčasnej ilustračnej tvorbe na Slovensku</w:t>
      </w:r>
    </w:p>
    <w:p>
      <w:pPr>
        <w:pStyle w:val="ListParagraph"/>
        <w:ind w:left="360" w:right="0" w:hanging="0"/>
        <w:rPr>
          <w:iCs/>
          <w:color w:val="000000"/>
          <w:sz w:val="16"/>
          <w:szCs w:val="16"/>
        </w:rPr>
      </w:pPr>
      <w:r>
        <w:rPr>
          <w:iCs/>
          <w:color w:val="000000"/>
          <w:sz w:val="16"/>
          <w:szCs w:val="16"/>
        </w:rPr>
        <w:t>Figurálna kompozícia v tvorbe Maxa Beckmana</w:t>
      </w:r>
    </w:p>
    <w:p>
      <w:pPr>
        <w:pStyle w:val="ListParagraph"/>
        <w:ind w:left="360" w:right="0" w:hanging="0"/>
        <w:rPr>
          <w:rFonts w:cs="Calibri"/>
          <w:i/>
          <w:i/>
          <w:color w:val="0000FF"/>
          <w:sz w:val="16"/>
          <w:szCs w:val="16"/>
          <w:u w:val="single"/>
        </w:rPr>
      </w:pPr>
      <w:r>
        <w:rPr>
          <w:rFonts w:cs="Calibri"/>
          <w:i/>
          <w:color w:val="0000FF"/>
          <w:sz w:val="16"/>
          <w:szCs w:val="16"/>
          <w:u w:val="single"/>
        </w:rPr>
      </w:r>
    </w:p>
    <w:p>
      <w:pPr>
        <w:pStyle w:val="ListParagraph"/>
        <w:ind w:left="360" w:right="0" w:hanging="0"/>
        <w:rPr>
          <w:rFonts w:cs="Calibri"/>
          <w:i/>
          <w:i/>
          <w:sz w:val="16"/>
          <w:szCs w:val="16"/>
        </w:rPr>
      </w:pPr>
      <w:r>
        <w:rPr>
          <w:rFonts w:cs="Calibri"/>
          <w:i/>
          <w:sz w:val="16"/>
          <w:szCs w:val="16"/>
        </w:rPr>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 xml:space="preserve">Odkaz na vedecko/umelecko-pedagogické charakteristiky školiteľov záverečných prác. </w:t>
      </w:r>
    </w:p>
    <w:p>
      <w:pPr>
        <w:pStyle w:val="ListParagraph"/>
        <w:numPr>
          <w:ilvl w:val="0"/>
          <w:numId w:val="12"/>
        </w:numPr>
        <w:spacing w:lineRule="auto" w:line="259" w:before="0" w:after="160"/>
        <w:ind w:left="360" w:right="0" w:hanging="360"/>
        <w:contextualSpacing/>
        <w:rPr/>
      </w:pPr>
      <w:r>
        <w:rPr>
          <w:rFonts w:cs="Calibri"/>
          <w:i/>
          <w:sz w:val="16"/>
          <w:szCs w:val="16"/>
        </w:rPr>
        <w:t xml:space="preserve">dr. hab. Peter Kocák, PhD., akademický maliar, </w:t>
      </w:r>
      <w:hyperlink r:id="rId38">
        <w:r>
          <w:rPr>
            <w:rStyle w:val="InternetLink"/>
            <w:rFonts w:cs="Calibri"/>
            <w:i/>
            <w:sz w:val="16"/>
            <w:szCs w:val="16"/>
          </w:rPr>
          <w:t>peter.kocak@unipo.sk</w:t>
        </w:r>
      </w:hyperlink>
    </w:p>
    <w:p>
      <w:pPr>
        <w:pStyle w:val="ListParagraph"/>
        <w:ind w:left="360" w:right="0" w:hanging="0"/>
        <w:rPr/>
      </w:pPr>
      <w:r>
        <w:rPr>
          <w:rFonts w:cs="Calibri"/>
          <w:i/>
          <w:sz w:val="16"/>
          <w:szCs w:val="16"/>
        </w:rPr>
        <w:t xml:space="preserve">doc. Vladislav Grešlík, ArtD., </w:t>
      </w:r>
      <w:hyperlink r:id="rId39">
        <w:r>
          <w:rPr>
            <w:rStyle w:val="InternetLink"/>
            <w:rFonts w:cs="Calibri"/>
            <w:i/>
            <w:sz w:val="16"/>
            <w:szCs w:val="16"/>
          </w:rPr>
          <w:t>vladislav.grešlik@unipo.sk</w:t>
        </w:r>
      </w:hyperlink>
    </w:p>
    <w:p>
      <w:pPr>
        <w:pStyle w:val="Normal"/>
        <w:spacing w:lineRule="auto" w:line="240" w:before="0" w:after="0"/>
        <w:ind w:left="709" w:right="0" w:hanging="0"/>
        <w:jc w:val="both"/>
        <w:rPr/>
      </w:pPr>
      <w:r>
        <w:rPr>
          <w:rFonts w:cs="Calibri"/>
          <w:i/>
          <w:sz w:val="16"/>
          <w:szCs w:val="16"/>
        </w:rPr>
        <w:t xml:space="preserve">doc. Martin Zbojan,PhD., akademický maliar,  </w:t>
      </w:r>
      <w:hyperlink r:id="rId40">
        <w:r>
          <w:rPr>
            <w:rStyle w:val="InternetLink"/>
            <w:rFonts w:cs="Calibri"/>
            <w:i/>
            <w:sz w:val="16"/>
            <w:szCs w:val="16"/>
          </w:rPr>
          <w:t>martin.zbojan@unipo.sk</w:t>
        </w:r>
      </w:hyperlink>
      <w:r>
        <w:rPr>
          <w:i/>
          <w:iCs/>
          <w:color w:val="000000"/>
          <w:sz w:val="16"/>
          <w:szCs w:val="16"/>
        </w:rPr>
        <w:t xml:space="preserve"> </w:t>
      </w:r>
    </w:p>
    <w:p>
      <w:pPr>
        <w:pStyle w:val="Normal"/>
        <w:spacing w:lineRule="auto" w:line="240" w:before="0" w:after="0"/>
        <w:ind w:left="709" w:right="0" w:hanging="0"/>
        <w:jc w:val="both"/>
        <w:rPr/>
      </w:pPr>
      <w:r>
        <w:rPr>
          <w:i/>
          <w:iCs/>
          <w:color w:val="000000"/>
          <w:sz w:val="16"/>
          <w:szCs w:val="16"/>
        </w:rPr>
        <w:t xml:space="preserve">Mgr. Adam Macko, PhD., </w:t>
      </w:r>
      <w:hyperlink r:id="rId41">
        <w:r>
          <w:rPr>
            <w:rStyle w:val="InternetLink"/>
            <w:i/>
            <w:iCs/>
            <w:sz w:val="16"/>
            <w:szCs w:val="16"/>
          </w:rPr>
          <w:t>adam.macko</w:t>
        </w:r>
      </w:hyperlink>
      <w:hyperlink r:id="rId42">
        <w:r>
          <w:rPr>
            <w:rStyle w:val="InternetLink"/>
            <w:i/>
            <w:iCs/>
            <w:sz w:val="16"/>
            <w:szCs w:val="16"/>
            <w:lang w:val="en-US"/>
          </w:rPr>
          <w:t>@unipo.sk</w:t>
        </w:r>
      </w:hyperlink>
      <w:r>
        <w:rPr>
          <w:i/>
          <w:iCs/>
          <w:color w:val="000000"/>
          <w:sz w:val="16"/>
          <w:szCs w:val="16"/>
          <w:lang w:val="en-US"/>
        </w:rPr>
        <w:t xml:space="preserve"> </w:t>
      </w:r>
    </w:p>
    <w:p>
      <w:pPr>
        <w:pStyle w:val="Normal"/>
        <w:spacing w:lineRule="auto" w:line="240" w:before="0" w:after="0"/>
        <w:ind w:left="709" w:right="0" w:hanging="0"/>
        <w:jc w:val="both"/>
        <w:rPr/>
      </w:pPr>
      <w:r>
        <w:rPr>
          <w:i/>
          <w:iCs/>
          <w:color w:val="000000"/>
          <w:sz w:val="16"/>
          <w:szCs w:val="16"/>
        </w:rPr>
        <w:t xml:space="preserve">Mgr. Jaroslav Ondo, PhD. </w:t>
      </w:r>
      <w:hyperlink r:id="rId43">
        <w:r>
          <w:rPr>
            <w:rStyle w:val="InternetLink"/>
            <w:i/>
            <w:iCs/>
            <w:sz w:val="16"/>
            <w:szCs w:val="16"/>
          </w:rPr>
          <w:t>jaroslav.ondo@unipo.sk</w:t>
        </w:r>
      </w:hyperlink>
    </w:p>
    <w:p>
      <w:pPr>
        <w:pStyle w:val="Normal"/>
        <w:spacing w:lineRule="auto" w:line="240" w:before="0" w:after="0"/>
        <w:ind w:left="709" w:right="0" w:hanging="0"/>
        <w:jc w:val="both"/>
        <w:rPr/>
      </w:pPr>
      <w:r>
        <w:rPr>
          <w:i/>
          <w:iCs/>
          <w:color w:val="000000"/>
          <w:sz w:val="16"/>
          <w:szCs w:val="16"/>
        </w:rPr>
        <w:t xml:space="preserve">Mgr. art. Vladimír Ganaj, ArtD., </w:t>
      </w:r>
      <w:hyperlink r:id="rId44">
        <w:r>
          <w:rPr>
            <w:rStyle w:val="InternetLink"/>
            <w:i/>
            <w:iCs/>
            <w:sz w:val="16"/>
            <w:szCs w:val="16"/>
          </w:rPr>
          <w:t>vladimir.ganaj@unipo.sk</w:t>
        </w:r>
      </w:hyperlink>
    </w:p>
    <w:p>
      <w:pPr>
        <w:pStyle w:val="Normal"/>
        <w:spacing w:lineRule="auto" w:line="240" w:before="0" w:after="0"/>
        <w:ind w:left="709" w:right="0" w:hanging="0"/>
        <w:jc w:val="both"/>
        <w:rPr/>
      </w:pPr>
      <w:r>
        <w:rPr>
          <w:i/>
          <w:iCs/>
          <w:color w:val="000000"/>
          <w:sz w:val="16"/>
          <w:szCs w:val="16"/>
        </w:rPr>
        <w:t xml:space="preserve">Mgr. art. Radka Baňacká, ArtD., </w:t>
      </w:r>
      <w:hyperlink r:id="rId45">
        <w:r>
          <w:rPr>
            <w:rStyle w:val="InternetLink"/>
            <w:i/>
            <w:iCs/>
            <w:sz w:val="16"/>
            <w:szCs w:val="16"/>
          </w:rPr>
          <w:t>jan.zelinka@unipo.sk</w:t>
        </w:r>
      </w:hyperlink>
    </w:p>
    <w:p>
      <w:pPr>
        <w:pStyle w:val="ListParagraph"/>
        <w:ind w:left="360" w:right="0" w:hanging="0"/>
        <w:rPr>
          <w:rFonts w:cs="Calibri"/>
          <w:i/>
          <w:i/>
          <w:sz w:val="16"/>
          <w:szCs w:val="16"/>
        </w:rPr>
      </w:pPr>
      <w:r>
        <w:rPr>
          <w:rFonts w:cs="Calibri"/>
          <w:i/>
          <w:sz w:val="16"/>
          <w:szCs w:val="16"/>
        </w:rPr>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 xml:space="preserve">Zástupcovia študentov, ktorí zastupujú záujmy študentov študijného programu (meno a kontakt). </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Členovia senátu (študentská časť):</w:t>
      </w:r>
    </w:p>
    <w:p>
      <w:pPr>
        <w:pStyle w:val="ListParagraph"/>
        <w:spacing w:lineRule="auto" w:line="240" w:before="0" w:after="0"/>
        <w:ind w:left="360" w:right="0" w:hanging="0"/>
        <w:contextualSpacing/>
        <w:rPr/>
      </w:pPr>
      <w:r>
        <w:rPr>
          <w:rFonts w:cs="Calibri"/>
          <w:i/>
          <w:iCs/>
          <w:color w:val="000000"/>
          <w:sz w:val="16"/>
          <w:szCs w:val="16"/>
        </w:rPr>
        <w:t xml:space="preserve">Emma DZURJOVÁ PAVLOVÁ – </w:t>
      </w:r>
      <w:hyperlink r:id="rId46">
        <w:r>
          <w:rPr>
            <w:rStyle w:val="InternetLink"/>
            <w:rFonts w:cs="Calibri"/>
            <w:i/>
            <w:iCs/>
            <w:sz w:val="16"/>
            <w:szCs w:val="16"/>
          </w:rPr>
          <w:t>emma.pavlova@smail.unipo.sk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PhDr. Róbert KIRÁLY– </w:t>
      </w:r>
      <w:hyperlink r:id="rId47">
        <w:r>
          <w:rPr>
            <w:rStyle w:val="InternetLink"/>
            <w:rFonts w:cs="Calibri"/>
            <w:i/>
            <w:iCs/>
            <w:sz w:val="16"/>
            <w:szCs w:val="16"/>
          </w:rPr>
          <w:t>robert.kiraly@smail.unipo.sk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Pavol KLIMKO – </w:t>
      </w:r>
      <w:hyperlink r:id="rId48">
        <w:r>
          <w:rPr>
            <w:rStyle w:val="InternetLink"/>
            <w:rFonts w:cs="Calibri"/>
            <w:i/>
            <w:iCs/>
            <w:sz w:val="16"/>
            <w:szCs w:val="16"/>
          </w:rPr>
          <w:t>pavol.klimko@smail.unipo.sk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Kinga MÉSZÁROSOVÁ – </w:t>
      </w:r>
      <w:hyperlink r:id="rId49">
        <w:r>
          <w:rPr>
            <w:rStyle w:val="InternetLink"/>
            <w:rFonts w:cs="Calibri"/>
            <w:i/>
            <w:iCs/>
            <w:sz w:val="16"/>
            <w:szCs w:val="16"/>
          </w:rPr>
          <w:t>kinga.meszarosova@smail.unipo.sk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Kristína ORAVCOVÁ – </w:t>
      </w:r>
      <w:hyperlink r:id="rId50">
        <w:r>
          <w:rPr>
            <w:rStyle w:val="InternetLink"/>
            <w:rFonts w:cs="Calibri"/>
            <w:i/>
            <w:iCs/>
            <w:sz w:val="16"/>
            <w:szCs w:val="16"/>
          </w:rPr>
          <w:t>kristina.oravcova@smail.unipo.sk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pPr>
      <w:r>
        <w:rPr>
          <w:rFonts w:cs="Calibri"/>
          <w:i/>
          <w:iCs/>
          <w:color w:val="000000"/>
          <w:sz w:val="16"/>
          <w:szCs w:val="16"/>
        </w:rPr>
        <w:t xml:space="preserve">Bc. Nikola PELOŽATOVÁ – </w:t>
      </w:r>
      <w:hyperlink r:id="rId51">
        <w:r>
          <w:rPr>
            <w:rStyle w:val="InternetLink"/>
            <w:rFonts w:cs="Calibri"/>
            <w:i/>
            <w:iCs/>
            <w:sz w:val="16"/>
            <w:szCs w:val="16"/>
          </w:rPr>
          <w:t>nikola.pelozatova@smail.unipo.sk</w:t>
        </w:r>
      </w:hyperlink>
      <w:r>
        <w:rPr>
          <w:rFonts w:cs="Calibri"/>
          <w:i/>
          <w:iCs/>
          <w:color w:val="000000"/>
          <w:sz w:val="16"/>
          <w:szCs w:val="16"/>
        </w:rPr>
        <w:t xml:space="preserve"> </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 xml:space="preserve">Študijný poradca študijného programu (s uvedením kontaktu a s informáciou o prístupe k poradenstvu a o rozvrhu konzultácií).  </w:t>
      </w:r>
    </w:p>
    <w:p>
      <w:pPr>
        <w:pStyle w:val="ListParagraph"/>
        <w:numPr>
          <w:ilvl w:val="0"/>
          <w:numId w:val="12"/>
        </w:numPr>
        <w:spacing w:lineRule="auto" w:line="240" w:before="0" w:after="0"/>
        <w:ind w:left="360" w:right="0" w:hanging="360"/>
        <w:contextualSpacing/>
        <w:rPr/>
      </w:pPr>
      <w:r>
        <w:rPr>
          <w:rFonts w:cs="Calibri"/>
          <w:sz w:val="16"/>
          <w:szCs w:val="16"/>
        </w:rPr>
        <w:t xml:space="preserve">PaedDr. Jana Hudáková, PhD., </w:t>
      </w:r>
      <w:hyperlink r:id="rId52">
        <w:r>
          <w:rPr>
            <w:rStyle w:val="InternetLink"/>
            <w:rFonts w:cs="Calibri"/>
            <w:sz w:val="16"/>
            <w:szCs w:val="16"/>
          </w:rPr>
          <w:t>jana.hudakova@unipo.sk</w:t>
        </w:r>
      </w:hyperlink>
      <w:r>
        <w:rPr>
          <w:rFonts w:cs="Calibri"/>
          <w:sz w:val="16"/>
          <w:szCs w:val="16"/>
        </w:rPr>
        <w:t xml:space="preserve">, tútor </w:t>
      </w:r>
      <w:r>
        <w:rPr>
          <w:rFonts w:cs="Calibri"/>
          <w:sz w:val="16"/>
          <w:szCs w:val="16"/>
          <w:shd w:fill="FFFF00" w:val="clear"/>
        </w:rPr>
        <w:t>bakalárskeho</w:t>
      </w:r>
      <w:r>
        <w:rPr>
          <w:rFonts w:cs="Calibri"/>
          <w:sz w:val="16"/>
          <w:szCs w:val="16"/>
        </w:rPr>
        <w:t xml:space="preserve"> stupňa, </w:t>
      </w:r>
      <w:r>
        <w:rPr>
          <w:rFonts w:cs="Calibri"/>
          <w:i/>
          <w:sz w:val="16"/>
          <w:szCs w:val="16"/>
        </w:rPr>
        <w:t xml:space="preserve"> </w:t>
      </w:r>
      <w:r>
        <w:rPr>
          <w:rFonts w:cs="Calibri"/>
          <w:i/>
          <w:iCs/>
          <w:color w:val="000000"/>
          <w:sz w:val="16"/>
          <w:szCs w:val="16"/>
        </w:rPr>
        <w:t>rozvrh a kontakt je zverejnený na webovej stránke inštitútu:    https://www.unipo.sk/filozoficka-fakulta/iaa-ff/kak/</w:t>
      </w:r>
    </w:p>
    <w:p>
      <w:pPr>
        <w:pStyle w:val="ListParagraph"/>
        <w:spacing w:lineRule="auto" w:line="240" w:before="0" w:after="0"/>
        <w:ind w:left="360" w:right="0" w:hanging="0"/>
        <w:contextualSpacing/>
        <w:rPr>
          <w:rFonts w:cs="Calibri"/>
          <w:sz w:val="16"/>
          <w:szCs w:val="16"/>
        </w:rPr>
      </w:pPr>
      <w:r>
        <w:rPr>
          <w:rFonts w:cs="Calibri"/>
          <w:sz w:val="16"/>
          <w:szCs w:val="16"/>
        </w:rPr>
      </w:r>
    </w:p>
    <w:p>
      <w:pPr>
        <w:pStyle w:val="ListParagraph"/>
        <w:numPr>
          <w:ilvl w:val="0"/>
          <w:numId w:val="12"/>
        </w:numPr>
        <w:spacing w:lineRule="auto" w:line="240" w:before="0" w:after="0"/>
        <w:ind w:left="360" w:right="0" w:hanging="360"/>
        <w:contextualSpacing/>
        <w:rPr>
          <w:rFonts w:cs="Calibri"/>
          <w:sz w:val="16"/>
          <w:szCs w:val="16"/>
        </w:rPr>
      </w:pPr>
      <w:r>
        <w:rPr>
          <w:rFonts w:cs="Calibri"/>
          <w:sz w:val="16"/>
          <w:szCs w:val="16"/>
        </w:rPr>
        <w:t xml:space="preserve">Iný podporný personál študijného programu – priradený študijný referent, kariérny poradca, administratíva, ubytovací referát a podobne (s kontaktami). </w:t>
      </w:r>
    </w:p>
    <w:p>
      <w:pPr>
        <w:pStyle w:val="ListParagraph"/>
        <w:spacing w:lineRule="auto" w:line="240" w:before="0" w:after="0"/>
        <w:ind w:left="360" w:right="0" w:hanging="0"/>
        <w:contextualSpacing/>
        <w:rPr/>
      </w:pPr>
      <w:r>
        <w:rPr>
          <w:rFonts w:cs="Calibri"/>
          <w:i/>
          <w:iCs/>
          <w:color w:val="000000"/>
          <w:sz w:val="16"/>
          <w:szCs w:val="16"/>
        </w:rPr>
        <w:t>Podporný personál pre študentov pozostáva z Útvaru pre vzdelávanie a doktorandské štúdium:</w:t>
        <w:br/>
        <w:t>Mgr. Katarína MIKITOVÁ, vedúca útvaru - tel. </w:t>
      </w:r>
      <w:hyperlink r:id="rId53">
        <w:r>
          <w:rPr>
            <w:rFonts w:cs="Calibri"/>
            <w:i/>
            <w:iCs/>
            <w:color w:val="000000"/>
            <w:sz w:val="16"/>
            <w:szCs w:val="16"/>
          </w:rPr>
          <w:t>051/7570 834</w:t>
        </w:r>
      </w:hyperlink>
      <w:r>
        <w:rPr>
          <w:rFonts w:cs="Calibri"/>
          <w:i/>
          <w:iCs/>
          <w:color w:val="000000"/>
          <w:sz w:val="16"/>
          <w:szCs w:val="16"/>
        </w:rPr>
        <w:t> - </w:t>
      </w:r>
      <w:hyperlink r:id="rId54">
        <w:r>
          <w:rPr>
            <w:rFonts w:cs="Calibri"/>
            <w:i/>
            <w:iCs/>
            <w:color w:val="000000"/>
            <w:sz w:val="16"/>
            <w:szCs w:val="16"/>
          </w:rPr>
          <w:t>katarina.mikitova@unipo.sk</w:t>
        </w:r>
      </w:hyperlink>
      <w:r>
        <w:rPr>
          <w:rFonts w:cs="Calibri"/>
          <w:i/>
          <w:iCs/>
          <w:color w:val="000000"/>
          <w:sz w:val="16"/>
          <w:szCs w:val="16"/>
        </w:rPr>
        <w:br/>
        <w:t>Mgr. Katarína PAVLÍKOVÁ - tel. </w:t>
      </w:r>
      <w:hyperlink r:id="rId55">
        <w:r>
          <w:rPr>
            <w:rFonts w:cs="Calibri"/>
            <w:i/>
            <w:iCs/>
            <w:color w:val="000000"/>
            <w:sz w:val="16"/>
            <w:szCs w:val="16"/>
          </w:rPr>
          <w:t>051/7570164</w:t>
        </w:r>
      </w:hyperlink>
      <w:r>
        <w:rPr>
          <w:rFonts w:cs="Calibri"/>
          <w:i/>
          <w:iCs/>
          <w:color w:val="000000"/>
          <w:sz w:val="16"/>
          <w:szCs w:val="16"/>
        </w:rPr>
        <w:t> - </w:t>
      </w:r>
      <w:hyperlink r:id="rId56">
        <w:r>
          <w:rPr>
            <w:rFonts w:cs="Calibri"/>
            <w:i/>
            <w:iCs/>
            <w:color w:val="000000"/>
            <w:sz w:val="16"/>
            <w:szCs w:val="16"/>
          </w:rPr>
          <w:t>katarina.pavlikova@unipo.sk</w:t>
        </w:r>
      </w:hyperlink>
      <w:r>
        <w:rPr>
          <w:rFonts w:cs="Calibri"/>
          <w:i/>
          <w:iCs/>
          <w:color w:val="000000"/>
          <w:sz w:val="16"/>
          <w:szCs w:val="16"/>
        </w:rPr>
        <w:br/>
        <w:t>Mgr. Katarína KUŽMOVÁ - tel. </w:t>
      </w:r>
      <w:hyperlink r:id="rId57">
        <w:r>
          <w:rPr>
            <w:rFonts w:cs="Calibri"/>
            <w:i/>
            <w:iCs/>
            <w:color w:val="000000"/>
            <w:sz w:val="16"/>
            <w:szCs w:val="16"/>
          </w:rPr>
          <w:t>051/7570 172</w:t>
        </w:r>
      </w:hyperlink>
      <w:r>
        <w:rPr>
          <w:rFonts w:cs="Calibri"/>
          <w:i/>
          <w:iCs/>
          <w:color w:val="000000"/>
          <w:sz w:val="16"/>
          <w:szCs w:val="16"/>
        </w:rPr>
        <w:t> - </w:t>
      </w:r>
      <w:hyperlink r:id="rId58">
        <w:r>
          <w:rPr>
            <w:rFonts w:cs="Calibri"/>
            <w:i/>
            <w:iCs/>
            <w:color w:val="000000"/>
            <w:sz w:val="16"/>
            <w:szCs w:val="16"/>
          </w:rPr>
          <w:t>katarina.kuzmova@unipo.sk</w:t>
        </w:r>
      </w:hyperlink>
      <w:r>
        <w:rPr>
          <w:rFonts w:cs="Calibri"/>
          <w:i/>
          <w:iCs/>
          <w:color w:val="000000"/>
          <w:sz w:val="16"/>
          <w:szCs w:val="16"/>
        </w:rPr>
        <w:br/>
        <w:t>Mgr. Anna ZÁMBORSKÁ - tel. </w:t>
      </w:r>
      <w:hyperlink r:id="rId59">
        <w:r>
          <w:rPr>
            <w:rFonts w:cs="Calibri"/>
            <w:i/>
            <w:iCs/>
            <w:color w:val="000000"/>
            <w:sz w:val="16"/>
            <w:szCs w:val="16"/>
          </w:rPr>
          <w:t>051/7570 169</w:t>
        </w:r>
      </w:hyperlink>
      <w:r>
        <w:rPr>
          <w:rFonts w:cs="Calibri"/>
          <w:i/>
          <w:iCs/>
          <w:color w:val="000000"/>
          <w:sz w:val="16"/>
          <w:szCs w:val="16"/>
        </w:rPr>
        <w:t> - </w:t>
      </w:r>
      <w:hyperlink r:id="rId60">
        <w:r>
          <w:rPr>
            <w:rFonts w:cs="Calibri"/>
            <w:i/>
            <w:iCs/>
            <w:color w:val="000000"/>
            <w:sz w:val="16"/>
            <w:szCs w:val="16"/>
          </w:rPr>
          <w:t>anna.zamborska@unipo.sk</w:t>
        </w:r>
      </w:hyperlink>
      <w:r>
        <w:rPr>
          <w:rFonts w:cs="Calibri"/>
          <w:i/>
          <w:iCs/>
          <w:color w:val="000000"/>
          <w:sz w:val="16"/>
          <w:szCs w:val="16"/>
        </w:rPr>
        <w:br/>
        <w:t>Mgr. Martina MUCHOVÁ, PhD. (doktorandské štúdium a rigorózne konanie)- tel. </w:t>
      </w:r>
      <w:hyperlink r:id="rId61">
        <w:r>
          <w:rPr>
            <w:rFonts w:cs="Calibri"/>
            <w:i/>
            <w:iCs/>
            <w:color w:val="000000"/>
            <w:sz w:val="16"/>
            <w:szCs w:val="16"/>
          </w:rPr>
          <w:t>051/7570830</w:t>
        </w:r>
      </w:hyperlink>
      <w:r>
        <w:rPr>
          <w:rFonts w:cs="Calibri"/>
          <w:i/>
          <w:iCs/>
          <w:color w:val="000000"/>
          <w:sz w:val="16"/>
          <w:szCs w:val="16"/>
        </w:rPr>
        <w:t> - </w:t>
      </w:r>
      <w:hyperlink r:id="rId62">
        <w:r>
          <w:rPr>
            <w:rFonts w:cs="Calibri"/>
            <w:i/>
            <w:iCs/>
            <w:color w:val="000000"/>
            <w:sz w:val="16"/>
            <w:szCs w:val="16"/>
          </w:rPr>
          <w:t>martina.muchova@unipo.sk</w:t>
        </w:r>
      </w:hyperlink>
    </w:p>
    <w:p>
      <w:pPr>
        <w:pStyle w:val="ListParagraph"/>
        <w:spacing w:lineRule="auto" w:line="240" w:before="0" w:after="0"/>
        <w:ind w:left="360" w:right="0" w:hanging="0"/>
        <w:contextualSpacing/>
        <w:rPr/>
      </w:pPr>
      <w:r>
        <w:rPr>
          <w:rFonts w:cs="Calibri"/>
          <w:i/>
          <w:iCs/>
          <w:color w:val="000000"/>
          <w:sz w:val="16"/>
          <w:szCs w:val="16"/>
        </w:rPr>
        <w:t xml:space="preserve">PhDr. Martina ŠÍPOVÁ, PhD.  (referát pre vedu a umenie)- tel. </w:t>
      </w:r>
      <w:r>
        <w:rPr>
          <w:i/>
          <w:iCs/>
          <w:color w:val="000000"/>
          <w:sz w:val="16"/>
          <w:szCs w:val="16"/>
          <w:shd w:fill="FFFFFF" w:val="clear"/>
        </w:rPr>
        <w:t>051/75 63 152- martina.sipova@unipo.sk</w:t>
      </w:r>
    </w:p>
    <w:p>
      <w:pPr>
        <w:pStyle w:val="ListParagraph"/>
        <w:numPr>
          <w:ilvl w:val="0"/>
          <w:numId w:val="1"/>
        </w:numPr>
        <w:spacing w:lineRule="auto" w:line="240" w:before="0" w:after="0"/>
        <w:ind w:left="360" w:right="0" w:hanging="360"/>
        <w:contextualSpacing/>
        <w:rPr>
          <w:b/>
          <w:b/>
          <w:bCs/>
          <w:color w:val="000000"/>
          <w:sz w:val="16"/>
          <w:szCs w:val="16"/>
        </w:rPr>
      </w:pPr>
      <w:r>
        <w:rPr>
          <w:b/>
          <w:bCs/>
          <w:color w:val="000000"/>
          <w:sz w:val="16"/>
          <w:szCs w:val="16"/>
        </w:rPr>
        <w:t>Priestorové, materiálne a technické zabezpečenie študijného programu a podpora</w:t>
      </w:r>
    </w:p>
    <w:p>
      <w:pPr>
        <w:pStyle w:val="ListParagraph"/>
        <w:numPr>
          <w:ilvl w:val="0"/>
          <w:numId w:val="13"/>
        </w:numPr>
        <w:spacing w:lineRule="auto" w:line="240" w:before="0" w:after="0"/>
        <w:ind w:left="360" w:right="0" w:hanging="360"/>
        <w:contextualSpacing/>
        <w:jc w:val="both"/>
        <w:rPr>
          <w:color w:val="000000"/>
          <w:sz w:val="16"/>
          <w:szCs w:val="16"/>
        </w:rPr>
      </w:pPr>
      <w:r>
        <w:rPr>
          <w:color w:val="000000"/>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pPr>
        <w:pStyle w:val="Normal"/>
        <w:spacing w:lineRule="auto" w:line="216"/>
        <w:ind w:left="360" w:right="0" w:hanging="0"/>
        <w:jc w:val="both"/>
        <w:rPr/>
      </w:pPr>
      <w:r>
        <w:rPr>
          <w:rFonts w:eastAsia="Calibri" w:cs="Calibri"/>
          <w:i/>
          <w:iCs/>
          <w:color w:val="000000"/>
          <w:sz w:val="16"/>
          <w:szCs w:val="16"/>
        </w:rPr>
        <w:t>Prešovská univerzita v Prešove zabezpečuje činnosť jednotlivých súčastí univerzity vo vlastných priestoroch alebo v priestoroch prenajatých. Filozofická fakulta je situovaná v najväčšom objekte univerzity, a to vo Vysokoškolskom areáli na Ul.17.novembra 1, Prešov. Celý komplex budov sa skladá z piatich navzájom prepojených častí v ktorých prebieha výučba a zázemie fakúlt, prednáškové sály, poslucháreň a odborné pracoviská. Objekt zabezpečuje všetku činnosť potrebnú pre zabezpečenie kvalitnej výučby jednotlivých programov. Celková úžitková plocha objektu je 25 060 m</w:t>
      </w:r>
      <w:r>
        <w:rPr>
          <w:rFonts w:eastAsia="Calibri" w:cs="Calibri"/>
          <w:i/>
          <w:iCs/>
          <w:color w:val="000000"/>
          <w:sz w:val="16"/>
          <w:szCs w:val="16"/>
          <w:vertAlign w:val="superscript"/>
        </w:rPr>
        <w:t>2</w:t>
      </w:r>
      <w:r>
        <w:rPr>
          <w:rFonts w:eastAsia="Calibri" w:cs="Calibri"/>
          <w:i/>
          <w:iCs/>
          <w:color w:val="000000"/>
          <w:sz w:val="16"/>
          <w:szCs w:val="16"/>
        </w:rPr>
        <w:t>. Jedná sa o objekt postavený v 80-tých rokoch min. storočia, priestory sa priebežne opravuje pre potreby študijných odborov a fakúlt. V objekte sa nachádzajú laboratória a centrá excelentnosti pre vedu a výskum.</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Gbit/s, ale sú pripravené aj na zavedenie rýchlosti 10 Gbit/s v budúcnosti. V rokoch 2017 až 2020 na univerzite prebehla kompletná výmena a rekonštrukcia centrálne riadenej WiFi siete v hodnote 154 000 EUR, bolo nainštalovaných celkovo 298 nových prístupových bodov vo všetkých objektoch.</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V súčasnosti na PU je k dispozícii viac než 2880 osobných počítačov, 98 serverov, takmer 1000 tlačiarní, 300 dataprojektorov, 20 interaktívnych tabúľ, ktoré majú vyučujúci k dispozícii.</w:t>
      </w:r>
    </w:p>
    <w:p>
      <w:pPr>
        <w:pStyle w:val="Normal"/>
        <w:ind w:left="348" w:right="0" w:hanging="0"/>
        <w:jc w:val="both"/>
        <w:rPr/>
      </w:pPr>
      <w:r>
        <w:rPr>
          <w:rFonts w:cs="Calibri"/>
          <w:i/>
          <w:color w:val="000000"/>
          <w:sz w:val="16"/>
          <w:szCs w:val="16"/>
        </w:rPr>
        <w:t xml:space="preserve">Výučba všetkých predmetov študijného programu na Inštitúte hudobného a výtvarného umenia prebieha v priestoroch FF PU vybavených  na zodpovedajúcej úrovni potrebnej na výučbu jednotlivých disciplín. V prednáškových a v seminárnych miestnostiach sú  umiestnené počítače s dataprojektormi a vysokorýchlostným pripojením na internet, čo  umožňuje poskytnutie moderných foriem prezentácií odbornej problematiky. </w:t>
      </w:r>
      <w:r>
        <w:rPr>
          <w:rFonts w:eastAsia="Calibri" w:cs="Calibri"/>
          <w:i/>
          <w:iCs/>
          <w:color w:val="000000"/>
          <w:sz w:val="16"/>
          <w:szCs w:val="16"/>
        </w:rPr>
        <w:t>V rámci inštitútu je k dispozícii odborná učebňa s počítačom napojeným na vysokorýchlostný internet, s dataprojektorom a s interaktívnou tabuľou. Katedra výtvarnej výchovy a umenia disponuje počítačovou miestnosťou, ktorá je vybavená počítačmi s potrebnými výtvarnými programami, fotokomorou a animačnou miestnosťou. Pre výučbu profilových predmetov študenti katedry využívajú</w:t>
      </w:r>
      <w:r>
        <w:rPr>
          <w:rFonts w:cs="Calibri"/>
          <w:i/>
          <w:color w:val="000000"/>
          <w:sz w:val="16"/>
          <w:szCs w:val="16"/>
        </w:rPr>
        <w:t>: maliarsky ateliér, sochársky ateliér, keramickú  a stolárska dielňu, dielňu pre textilnú tvorbu a  grafická dielňa. Vo všetkých  uvedených priestoroch je základné technické vybavenie.</w:t>
      </w:r>
      <w:r>
        <w:rPr>
          <w:rFonts w:eastAsia="Calibri" w:cs="Calibri"/>
          <w:i/>
          <w:iCs/>
          <w:color w:val="000000"/>
          <w:sz w:val="16"/>
          <w:szCs w:val="16"/>
        </w:rPr>
        <w:t xml:space="preserve">  Študenti majú možnosť využívať aj Univerzitnú knižnicu, ktorá poskytuje širokú škálu služieb: výpožičky kníh, študovňu so širokou ponukou odborných časopisov, medziknižničnú výpožičnú službu, prístup k medzinárodným elektronickým bibliografickým</w:t>
      </w:r>
      <w:r>
        <w:rPr>
          <w:rFonts w:cs="Calibri"/>
          <w:i/>
          <w:color w:val="000000"/>
          <w:sz w:val="16"/>
          <w:szCs w:val="16"/>
        </w:rPr>
        <w:t xml:space="preserve"> databázam, rešeršnú činnosť, počítačové  vybavenie na využívanie Internetu</w:t>
      </w:r>
    </w:p>
    <w:p>
      <w:pPr>
        <w:pStyle w:val="ListParagraph"/>
        <w:numPr>
          <w:ilvl w:val="0"/>
          <w:numId w:val="13"/>
        </w:numPr>
        <w:spacing w:lineRule="auto" w:line="240" w:before="0" w:after="0"/>
        <w:ind w:left="360" w:right="0" w:hanging="360"/>
        <w:contextualSpacing/>
        <w:jc w:val="both"/>
        <w:rPr>
          <w:color w:val="000000"/>
          <w:sz w:val="16"/>
          <w:szCs w:val="16"/>
        </w:rPr>
      </w:pPr>
      <w:r>
        <w:rPr>
          <w:color w:val="000000"/>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kn. j. a 250 titulov periodík, pričom nákup dokumentov je realizovaný na základe požiadaviek fakúlt s cieľom rovnomerného nákupu pre potreby všetkých študijných programov na PU). Od roku 2004 knižnica buduje Digitálnu knižnicu (databázu elektronických plnotextových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(PULIBnet) so 4 servermi, 84 počítačmi, z toho pre používateľov je vyhradených 45 počítačov. Každoročne vydáva bibliografiu publikačnej činnosti PU. Knižnica poskytuje prístup do 9 platených plnotextových databázových centier (EBSCO, Gale, ProQuest, Science Direct, Scopus, Springer, Taylor and Francis, Web of Knowledge, Wiley).</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Informačný systém pre riadenie štúdia MAIS poskytuje podporu celého životného cyklu štúdia. MAIS je určený najmä pre: spracovanie a evidenciu prijímacieho konania, spracovanie a evidenciu štúdia, spracovanie študijných programov, spracovanie rozvrhu hodín.</w:t>
      </w:r>
    </w:p>
    <w:p>
      <w:pPr>
        <w:pStyle w:val="Normal"/>
        <w:spacing w:lineRule="auto" w:line="216"/>
        <w:ind w:left="360" w:right="0" w:hanging="0"/>
        <w:jc w:val="both"/>
        <w:rPr>
          <w:rFonts w:eastAsia="Calibri" w:cs="Calibri"/>
          <w:i/>
          <w:i/>
          <w:iCs/>
          <w:color w:val="000000"/>
          <w:sz w:val="16"/>
          <w:szCs w:val="16"/>
        </w:rPr>
      </w:pPr>
      <w:r>
        <w:rPr>
          <w:rFonts w:eastAsia="Calibri" w:cs="Calibri"/>
          <w:i/>
          <w:iCs/>
          <w:color w:val="000000"/>
          <w:sz w:val="16"/>
          <w:szCs w:val="16"/>
        </w:rPr>
        <w:t>PU má prenajatú multilicenciu štatistického softvéru Statistica. Oprávnenými užívateľmi licencie sú všetci učitelia, študenti a zamestnanci univerzity.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pPr>
        <w:pStyle w:val="ListParagraph"/>
        <w:numPr>
          <w:ilvl w:val="0"/>
          <w:numId w:val="13"/>
        </w:numPr>
        <w:spacing w:lineRule="auto" w:line="240" w:before="0" w:after="0"/>
        <w:ind w:left="360" w:right="0" w:hanging="360"/>
        <w:contextualSpacing/>
        <w:jc w:val="both"/>
        <w:rPr>
          <w:color w:val="000000"/>
          <w:sz w:val="16"/>
          <w:szCs w:val="16"/>
        </w:rPr>
      </w:pPr>
      <w:r>
        <w:rPr>
          <w:color w:val="000000"/>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pPr>
        <w:pStyle w:val="ListParagraph"/>
        <w:spacing w:lineRule="auto" w:line="216" w:before="0" w:after="0"/>
        <w:ind w:left="360" w:right="0" w:hanging="0"/>
        <w:contextualSpacing/>
        <w:jc w:val="both"/>
        <w:rPr/>
      </w:pPr>
      <w:r>
        <w:rPr>
          <w:rFonts w:eastAsia="Calibri" w:cs="Calibri"/>
          <w:i/>
          <w:iCs/>
          <w:color w:val="000000"/>
          <w:sz w:val="16"/>
          <w:szCs w:val="16"/>
        </w:rPr>
        <w:t xml:space="preserve">Prioritne je na dištančné vzdelávanie využívaný Office 365, najmä MS TEAMS a MS FORMS. Konto v Office 365 majú všetci zamestnanci a študenti PU. Prešovská univerzita v Prešove používa systém e-learning pre podporu výučby online vzdelávania aj v prostredí Moodle. Je dostupný na adrese </w:t>
      </w:r>
      <w:hyperlink r:id="rId63">
        <w:r>
          <w:rPr>
            <w:rStyle w:val="InternetLink"/>
            <w:rFonts w:eastAsia="Calibri" w:cs="Calibri"/>
            <w:i/>
            <w:iCs/>
            <w:color w:val="000000"/>
            <w:sz w:val="16"/>
            <w:szCs w:val="16"/>
          </w:rPr>
          <w:t>https://elearning.unipo.sk/</w:t>
        </w:r>
      </w:hyperlink>
      <w:r>
        <w:rPr>
          <w:rFonts w:eastAsia="Calibri" w:cs="Calibri"/>
          <w:i/>
          <w:iCs/>
          <w:color w:val="000000"/>
          <w:sz w:val="16"/>
          <w:szCs w:val="16"/>
        </w:rPr>
        <w:t xml:space="preserve"> a nachádzajú sa tam základné informácie, kurzy a príručky. Elektronický systém e-learning v prostredí Moodle je k dispozícii všetkým študentom, učiteľom a zamestnancom Prešovskej univerzity.</w:t>
      </w:r>
    </w:p>
    <w:p>
      <w:pPr>
        <w:pStyle w:val="ListParagraph"/>
        <w:spacing w:lineRule="auto" w:line="216"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numPr>
          <w:ilvl w:val="0"/>
          <w:numId w:val="13"/>
        </w:numPr>
        <w:spacing w:lineRule="auto" w:line="240" w:before="0" w:after="0"/>
        <w:ind w:left="360" w:right="0" w:hanging="360"/>
        <w:contextualSpacing/>
        <w:jc w:val="both"/>
        <w:rPr>
          <w:color w:val="000000"/>
          <w:sz w:val="16"/>
          <w:szCs w:val="16"/>
        </w:rPr>
      </w:pPr>
      <w:r>
        <w:rPr>
          <w:color w:val="000000"/>
          <w:sz w:val="16"/>
          <w:szCs w:val="16"/>
        </w:rPr>
        <w:t xml:space="preserve">Partneri vysokej školy pri zabezpečovaní vzdelávacích činností študijného programu a charakteristika ich participácie. </w:t>
      </w:r>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t>Univerzita má na základe zmlúv o spolupráci vytvorenú rozsiahlu sieť cvičných škôl zabezpečujúcich pedagogické praxe, praktickej prípravy a transferu výskumu, v ktorých študenti môže realizovať odbornú prax. Zoznam cvičných škôl je zverejnený a priebežne aktualizovaný. Inštitút AA disponuje aj samostatnými dohodami o spolupráci so školami, v rámci ktorej školy umožňujú študentom inštitútu realizovať terénne semináre (asistentská prax) a tiež pilotovanie výskumných zámerov študentov aj pedagógov.</w:t>
      </w:r>
    </w:p>
    <w:p>
      <w:pPr>
        <w:pStyle w:val="Normal"/>
        <w:spacing w:lineRule="auto" w:line="216" w:before="0" w:after="0"/>
        <w:ind w:left="426" w:right="0" w:hanging="0"/>
        <w:rPr/>
      </w:pPr>
      <w:r>
        <w:rPr>
          <w:rFonts w:eastAsia="Calibri" w:cs="Calibri"/>
          <w:i/>
          <w:iCs/>
          <w:color w:val="000000"/>
          <w:sz w:val="16"/>
          <w:szCs w:val="16"/>
        </w:rPr>
        <w:t xml:space="preserve">Odkaz na cvičné školy s udeleným štatútom Cvičný škola PU v Prešove: </w:t>
      </w:r>
      <w:hyperlink r:id="rId64">
        <w:r>
          <w:rPr>
            <w:rStyle w:val="InternetLink"/>
            <w:rFonts w:eastAsia="Calibri" w:cs="Calibri"/>
            <w:i/>
            <w:iCs/>
            <w:color w:val="000000"/>
            <w:sz w:val="16"/>
            <w:szCs w:val="16"/>
          </w:rPr>
          <w:t>https://www.unipo.sk/fakulta-humanitnych-prirodnych-vied/katedry/upap-fhpv/oppp/statut/</w:t>
        </w:r>
      </w:hyperlink>
    </w:p>
    <w:p>
      <w:pPr>
        <w:pStyle w:val="Normal"/>
        <w:spacing w:lineRule="auto" w:line="216" w:before="0" w:after="0"/>
        <w:ind w:left="426" w:right="0" w:hanging="0"/>
        <w:rPr/>
      </w:pPr>
      <w:r>
        <w:rPr>
          <w:rFonts w:eastAsia="Calibri" w:cs="Calibri"/>
          <w:i/>
          <w:iCs/>
          <w:color w:val="000000"/>
          <w:sz w:val="16"/>
          <w:szCs w:val="16"/>
        </w:rPr>
        <w:t xml:space="preserve">Odkaz na škola so zmluvou o spolupráci: </w:t>
      </w:r>
      <w:hyperlink r:id="rId65">
        <w:r>
          <w:rPr>
            <w:rStyle w:val="InternetLink"/>
            <w:rFonts w:eastAsia="Calibri" w:cs="Calibri"/>
            <w:i/>
            <w:iCs/>
            <w:color w:val="000000"/>
            <w:sz w:val="16"/>
            <w:szCs w:val="16"/>
          </w:rPr>
          <w:t>https://www.unipo.sk/fakulta-humanitnych-prirodnych-vied/katedry/upap-fhpv/oppp/zoznam-skol/</w:t>
        </w:r>
      </w:hyperlink>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r>
    </w:p>
    <w:p>
      <w:pPr>
        <w:pStyle w:val="ListParagraph"/>
        <w:numPr>
          <w:ilvl w:val="0"/>
          <w:numId w:val="13"/>
        </w:numPr>
        <w:spacing w:lineRule="auto" w:line="240" w:before="0" w:after="0"/>
        <w:ind w:left="360" w:right="0" w:hanging="360"/>
        <w:contextualSpacing/>
        <w:jc w:val="both"/>
        <w:rPr>
          <w:color w:val="000000"/>
          <w:sz w:val="16"/>
          <w:szCs w:val="16"/>
        </w:rPr>
      </w:pPr>
      <w:r>
        <w:rPr>
          <w:color w:val="000000"/>
          <w:sz w:val="16"/>
          <w:szCs w:val="16"/>
        </w:rPr>
        <w:t xml:space="preserve">Charakteristika na možnosti sociálneho, športového, kultúrneho, duchovného a spoločenského vyžitia. </w:t>
      </w:r>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t>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miniligu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Šporťáčik; pohybový program ProSenior a iné). Pri realizácií týchto aktivít FŠ organizačne spolupracuje so študentmi, Olympijským klubom Prešov a mestom Prešov.</w:t>
      </w:r>
    </w:p>
    <w:p>
      <w:pPr>
        <w:pStyle w:val="Normal"/>
        <w:spacing w:lineRule="auto" w:line="216" w:before="0" w:after="0"/>
        <w:ind w:left="426" w:right="0" w:hanging="0"/>
        <w:rPr>
          <w:rFonts w:eastAsia="Calibri" w:cs="Calibri"/>
          <w:color w:val="000000"/>
          <w:sz w:val="16"/>
          <w:szCs w:val="16"/>
        </w:rPr>
      </w:pPr>
      <w:r>
        <w:rPr>
          <w:rFonts w:eastAsia="Calibri" w:cs="Calibri"/>
          <w:color w:val="000000"/>
          <w:sz w:val="16"/>
          <w:szCs w:val="16"/>
        </w:rPr>
      </w:r>
    </w:p>
    <w:p>
      <w:pPr>
        <w:pStyle w:val="Normal"/>
        <w:spacing w:lineRule="auto" w:line="216" w:before="0" w:after="0"/>
        <w:ind w:left="426" w:right="0" w:hanging="0"/>
        <w:rPr>
          <w:rFonts w:eastAsia="Calibri" w:cs="Calibri"/>
          <w:i/>
          <w:i/>
          <w:iCs/>
          <w:color w:val="000000"/>
          <w:sz w:val="16"/>
          <w:szCs w:val="16"/>
        </w:rPr>
      </w:pPr>
      <w:r>
        <w:rPr>
          <w:rFonts w:eastAsia="Calibri" w:cs="Calibri"/>
          <w:i/>
          <w:iCs/>
          <w:color w:val="000000"/>
          <w:sz w:val="16"/>
          <w:szCs w:val="16"/>
        </w:rPr>
        <w:t>Na PU v Prešove pôsobí 11 umeleckých súborov ( 4 na Katedre hudby),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celouniverzitných a fakultných slávnostných podujatiach, reprezentujú a vytvárajú imidž univerzite v rámci mesta Prešov, Prešovského kraja, v celoštátnom aj medzinárodnom meradle.</w:t>
      </w:r>
    </w:p>
    <w:p>
      <w:pPr>
        <w:pStyle w:val="Normal"/>
        <w:spacing w:lineRule="auto" w:line="216" w:before="0" w:after="0"/>
        <w:ind w:left="426" w:right="0" w:hanging="0"/>
        <w:rPr>
          <w:rFonts w:eastAsia="Calibri" w:cs="Calibri"/>
          <w:color w:val="000000"/>
          <w:sz w:val="16"/>
          <w:szCs w:val="16"/>
        </w:rPr>
      </w:pPr>
      <w:r>
        <w:rPr>
          <w:rFonts w:eastAsia="Calibri" w:cs="Calibri"/>
          <w:color w:val="000000"/>
          <w:sz w:val="16"/>
          <w:szCs w:val="16"/>
        </w:rPr>
      </w:r>
    </w:p>
    <w:p>
      <w:pPr>
        <w:pStyle w:val="Normal"/>
        <w:spacing w:lineRule="auto" w:line="216"/>
        <w:ind w:left="360" w:right="0" w:hanging="0"/>
        <w:jc w:val="both"/>
        <w:rPr/>
      </w:pPr>
      <w:r>
        <w:rPr>
          <w:rFonts w:eastAsia="Calibri" w:cs="Calibri"/>
          <w:i/>
          <w:iCs/>
          <w:color w:val="000000"/>
          <w:sz w:val="16"/>
          <w:szCs w:val="16"/>
        </w:rPr>
        <w:t xml:space="preserve">Univerzitné pastoračné centrum Dr. Štefana Héseka v Prešove (ďalej UPC) </w:t>
      </w:r>
      <w:hyperlink r:id="rId66">
        <w:r>
          <w:rPr>
            <w:rStyle w:val="InternetLink"/>
            <w:rFonts w:eastAsia="Calibri" w:cs="Calibri"/>
            <w:i/>
            <w:iCs/>
            <w:color w:val="000000"/>
            <w:sz w:val="16"/>
            <w:szCs w:val="16"/>
          </w:rPr>
          <w:t>http://upc.unipo.sk/</w:t>
        </w:r>
      </w:hyperlink>
      <w:r>
        <w:rPr>
          <w:rFonts w:eastAsia="Calibri" w:cs="Calibri"/>
          <w:i/>
          <w:iCs/>
          <w:color w:val="000000"/>
          <w:sz w:val="16"/>
          <w:szCs w:val="16"/>
        </w:rPr>
        <w:t xml:space="preserve"> je súčasťou celoslovenskej siete univerzitných pastoračných centier. Jeho hlavnou úlohou je starostlivosť o duchovné potreby vysokoškolských študentov a pedagógov.</w:t>
      </w:r>
    </w:p>
    <w:p>
      <w:pPr>
        <w:pStyle w:val="ListParagraph"/>
        <w:numPr>
          <w:ilvl w:val="0"/>
          <w:numId w:val="13"/>
        </w:numPr>
        <w:spacing w:lineRule="auto" w:line="240" w:before="0" w:after="0"/>
        <w:ind w:left="360" w:right="0" w:hanging="360"/>
        <w:contextualSpacing/>
        <w:jc w:val="both"/>
        <w:rPr>
          <w:color w:val="000000"/>
          <w:sz w:val="16"/>
          <w:szCs w:val="16"/>
        </w:rPr>
      </w:pPr>
      <w:r>
        <w:rPr>
          <w:color w:val="000000"/>
          <w:sz w:val="16"/>
          <w:szCs w:val="16"/>
        </w:rPr>
        <w:t xml:space="preserve">Možnosti a podmienky účasti študentov študijného programu na mobilitách a stážach (s uvedením kontaktov), pokyny na prihlasovanie, pravidlá uznávania tohto vzdelávania.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Erasmus+ mobility – podmienky: O grant na mobilitu sa môže uchádzať študent, ktorý 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 občanom inej krajiny, ktorý je študentom uceleného bakalárskeho, magisterského alebo doktorandského štúdia (zapísaným v danom akademickom roku) vysokoškolskej inštitúcie v Slovenskej republike, ktorej bola pridelená Erasmus charta (ECHE).</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Oddelenie vonkajších vzťahov a marketingu (Zahraničné vzťahy) na Rektoráte PU každý rok informuje jednotlivé fakulty, fakultného a katedrových koordinátorov, ako aj samotných študentov o možnostiach študentských mobilít v rámci jednotlivých podpísaných interinštitucionálnych dohôd. Tieto informácie sú dostupné aj na webovom sídle fakulty v sekcii vonkajších vzťahov.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Študenti, ktorí sa chcú v rámci programu Erasmus+ zúčastniť študijného pobytu na zahraničnej univerzite musia predovšetkým spĺňať nasledujúce kritériá mobility študentov: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Mobility sa môžu zúčastniť študenti všetkých stupňov vysokoškolského štúdia (Bc., Mgr., Ing., PhD.)</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Študent musí byť riadne zapísaný na štúdium na Prešovskej univerzite v dennej forme štúdia.</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Grant je možné prideliť len študentovi, ktorý má ukončený 1. ročník vysokoškolského štúdia. Prihlásiť na mobilitu sa však môže už v 1. ročníku. Mobilita môže trvať min. 3 a max. 12 mesiacov. Študent sa môže zúčastniť Erasmus+ mobilít (študijný pobyt + stáž) v súhrnnej dĺžke 12 mesiacov v každom stupni štúdia.</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Povinnosti študenta, ktorý má záujem vycestovať na mobilitu: </w:t>
      </w:r>
    </w:p>
    <w:p>
      <w:pPr>
        <w:pStyle w:val="ListParagraph"/>
        <w:spacing w:lineRule="auto" w:line="240" w:before="0" w:after="0"/>
        <w:ind w:left="360" w:right="0" w:hanging="0"/>
        <w:contextualSpacing/>
        <w:jc w:val="both"/>
        <w:rPr/>
      </w:pPr>
      <w:r>
        <w:rPr>
          <w:rFonts w:eastAsia="Calibri" w:cs="Calibri"/>
          <w:i/>
          <w:iCs/>
          <w:color w:val="000000"/>
          <w:sz w:val="16"/>
          <w:szCs w:val="16"/>
        </w:rPr>
        <w:t xml:space="preserve">Po podaní prihlášky na mobilitu (s priloženým Výpisom výsledkov štúdia a príp. aj motivačného listu) absolvuje test resp. pohovor. Študent je povinný na prijímajúcej inštitúcii si zvoliť predmety tak, aby celkovo získal min. 15 kreditov. Po prezretí webovej stránky príslušnej zahraničnej univerzity a oboznámení  s ponukou jej kurzov študent osobne prekonzultuje svoj výber a možné alternatívy absolvovania predmetov s inštitútovým koordinátorom (Mgr. art. et Mgr. Tatiana Švajková, PhD., </w:t>
      </w:r>
      <w:hyperlink r:id="rId67">
        <w:r>
          <w:rPr>
            <w:rStyle w:val="InternetLink"/>
            <w:rFonts w:eastAsia="Calibri" w:cs="Calibri"/>
            <w:i/>
            <w:iCs/>
            <w:sz w:val="16"/>
            <w:szCs w:val="16"/>
          </w:rPr>
          <w:t>tatiana.svajkova@unipo.sk</w:t>
        </w:r>
      </w:hyperlink>
      <w:r>
        <w:rPr>
          <w:rFonts w:eastAsia="Calibri" w:cs="Calibri"/>
          <w:i/>
          <w:iCs/>
          <w:color w:val="000000"/>
          <w:sz w:val="16"/>
          <w:szCs w:val="16"/>
        </w:rPr>
        <w:t xml:space="preserve"> - koordinátorom pre príslušný študijný program). Inštitútový koordinátor posudzuje zhodu, resp. podobnosť predmetov vybraných študentom na partnerskej inštitúcii so študijným odborom a študijným plánom na domácej fakulte. V prípade, že sa tak nestane a koordinátor študentovi podobnosť predmetov neodsúhlasí, predmety študentovi nebudú uznané ako povinné a povinne voliteľné (A a B blok predmetov v študijnom programe), ale len ako výberové predmety (C blok predmetov v študijnom programe). Študent spolu s koordinátorom pripraví  podkladový materiál (Formulár – Návrh uznania obsahu štúdia a predmetov absolvovaných v rámci mobility), v ktorom uvedie zoznam predmetov odporúčaného študijného programu a na základe podkladového materiálu vyplní Learning Agreement for Studies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inštitútovým koordinátorom. V prípade uznávania predmetu (absolvovaného v rámci mobility) ako alternatívneho k povinnému alebo povinne voliteľnému predmetu musí byť Dohoda o prenose kreditov podpísanú aj pedagógom, ktorý predmet zabezpečuje (prednáša/skúša).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Podmienky absolvovania predmetu na domácej inštitúcii: V prípade, že hosťujúca univerzita neponúka vhodný  alternatívny predmet k predmetu študijného programu Učiteľstvo anglického jazyka a literatúry,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Povinnosti a úlohy študenta v čase trvania mobility: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Ak nastane zmena v predmetoch uvedených v Learning Agreement, študent bezodkladne kontaktuje inštitútového koordinátora pre mobilitu a dohodne sa s ním na zmenách (použije tlačivo Zmeny k zmluve o štúdiu – Changes to Learning Agreement for Studies), pričom na novozapísané predmety je tiež nevyhnutné podpísať tlačivo Dohoda o prenose kreditov.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Povinnosti a úlohy študenta po návrate z mobility: Po návrate študent bezodkladne  kontaktuje fakultného ECTS koordinátora a odovzdá mu kópiu Zmluvy o štúdiu (aj so zmenami) a kópiu Výpisu o absolvovaní predmetov a výsledkoch (Transcript of Records).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Erasmus+ stáže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Realizovaná stáž v zahraničí bude študentovi plne uznaná použitím ECTS kreditov resp. Dodatkom k diplomu.</w:t>
      </w:r>
    </w:p>
    <w:p>
      <w:pPr>
        <w:pStyle w:val="ListParagraph"/>
        <w:spacing w:lineRule="auto" w:line="240" w:before="0" w:after="0"/>
        <w:ind w:left="360" w:right="0" w:hanging="0"/>
        <w:contextualSpacing/>
        <w:jc w:val="both"/>
        <w:rPr/>
      </w:pPr>
      <w:r>
        <w:rPr>
          <w:rFonts w:eastAsia="Calibri" w:cs="Calibri"/>
          <w:i/>
          <w:iCs/>
          <w:color w:val="000000"/>
          <w:sz w:val="16"/>
          <w:szCs w:val="16"/>
        </w:rPr>
        <w:t xml:space="preserve">Viac informácií o študijných mobilitách študentov je k dispozícii na webovom sídle Prešovskej univerzity: </w:t>
      </w:r>
      <w:hyperlink r:id="rId68">
        <w:r>
          <w:rPr>
            <w:rFonts w:eastAsia="Calibri" w:cs="Calibri"/>
            <w:i/>
            <w:iCs/>
            <w:color w:val="000000"/>
            <w:sz w:val="16"/>
            <w:szCs w:val="16"/>
          </w:rPr>
          <w:t>https://www.unipo.sk/zahranicie/erasmus/studium/</w:t>
        </w:r>
      </w:hyperlink>
      <w:r>
        <w:rPr>
          <w:rFonts w:eastAsia="Calibri" w:cs="Calibri"/>
          <w:i/>
          <w:iCs/>
          <w:color w:val="000000"/>
          <w:sz w:val="16"/>
          <w:szCs w:val="16"/>
        </w:rPr>
        <w:t xml:space="preserve"> a</w:t>
      </w:r>
    </w:p>
    <w:p>
      <w:pPr>
        <w:pStyle w:val="ListParagraph"/>
        <w:spacing w:lineRule="auto" w:line="240" w:before="0" w:after="0"/>
        <w:ind w:left="360" w:right="0" w:hanging="0"/>
        <w:contextualSpacing/>
        <w:jc w:val="both"/>
        <w:rPr/>
      </w:pPr>
      <w:hyperlink r:id="rId69">
        <w:r>
          <w:rPr>
            <w:rFonts w:eastAsia="Calibri" w:cs="Calibri"/>
            <w:i/>
            <w:iCs/>
            <w:color w:val="000000"/>
            <w:sz w:val="16"/>
            <w:szCs w:val="16"/>
          </w:rPr>
          <w:t>https://www.unipo.sk/zahranicie/erasmus/staze/</w:t>
        </w:r>
      </w:hyperlink>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numPr>
          <w:ilvl w:val="0"/>
          <w:numId w:val="1"/>
        </w:numPr>
        <w:spacing w:lineRule="auto" w:line="240" w:before="0" w:after="0"/>
        <w:ind w:left="360" w:right="0" w:hanging="360"/>
        <w:contextualSpacing/>
        <w:rPr>
          <w:b/>
          <w:b/>
          <w:bCs/>
          <w:color w:val="000000"/>
          <w:sz w:val="16"/>
          <w:szCs w:val="16"/>
        </w:rPr>
      </w:pPr>
      <w:r>
        <w:rPr>
          <w:b/>
          <w:bCs/>
          <w:color w:val="000000"/>
          <w:sz w:val="16"/>
          <w:szCs w:val="16"/>
        </w:rPr>
        <w:t xml:space="preserve">Požadované schopnosti a predpoklady uchádzača o štúdium študijného programu </w:t>
      </w:r>
    </w:p>
    <w:p>
      <w:pPr>
        <w:pStyle w:val="ListParagraph"/>
        <w:numPr>
          <w:ilvl w:val="0"/>
          <w:numId w:val="14"/>
        </w:numPr>
        <w:spacing w:lineRule="auto" w:line="240" w:before="0" w:after="0"/>
        <w:ind w:left="360" w:right="0" w:hanging="360"/>
        <w:contextualSpacing/>
        <w:rPr>
          <w:rFonts w:cs="Calibri"/>
          <w:color w:val="000000"/>
          <w:sz w:val="16"/>
          <w:szCs w:val="16"/>
        </w:rPr>
      </w:pPr>
      <w:r>
        <w:rPr>
          <w:rFonts w:cs="Calibri"/>
          <w:color w:val="000000"/>
          <w:sz w:val="16"/>
          <w:szCs w:val="16"/>
        </w:rPr>
        <w:t xml:space="preserve">Požadované schopnosti a predpoklady potrebné na prijatie na štúdium. </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Uchádzač o štúdium na katedre výtvarnej výchovy a umenia v bakalárskom stupni štúdia v rámci talentovej skúšky preukazuje praktické elementárne výtvarné zručnosti a vedomosti v oblasti dejín umenia a súčasného diania v umení na Slovensku a v zahraničí.</w:t>
      </w:r>
    </w:p>
    <w:p>
      <w:pPr>
        <w:pStyle w:val="ListParagraph"/>
        <w:numPr>
          <w:ilvl w:val="0"/>
          <w:numId w:val="14"/>
        </w:numPr>
        <w:spacing w:lineRule="auto" w:line="240" w:before="0" w:after="0"/>
        <w:ind w:left="360" w:right="0" w:hanging="360"/>
        <w:contextualSpacing/>
        <w:rPr>
          <w:rFonts w:cs="Calibri"/>
          <w:color w:val="000000"/>
          <w:sz w:val="16"/>
          <w:szCs w:val="16"/>
        </w:rPr>
      </w:pPr>
      <w:r>
        <w:rPr>
          <w:rFonts w:cs="Calibri"/>
          <w:color w:val="000000"/>
          <w:sz w:val="16"/>
          <w:szCs w:val="16"/>
        </w:rPr>
        <w:t xml:space="preserve">Postupy prijímania na štúdium. </w:t>
      </w:r>
    </w:p>
    <w:p>
      <w:pPr>
        <w:pStyle w:val="Normal"/>
        <w:spacing w:lineRule="auto" w:line="240" w:before="0" w:after="0"/>
        <w:ind w:left="426" w:right="0" w:hanging="0"/>
        <w:jc w:val="both"/>
        <w:rPr/>
      </w:pPr>
      <w:r>
        <w:rPr>
          <w:rFonts w:cs="Calibri"/>
          <w:i/>
          <w:sz w:val="16"/>
          <w:szCs w:val="16"/>
        </w:rPr>
        <w:t xml:space="preserve">Fakulta na svojom webovom sídle zverejňuje všetky relevantné informácie o akreditovaných študijných programoch v samostatných sekciách </w:t>
      </w:r>
      <w:r>
        <w:rPr>
          <w:rFonts w:cs="Calibri"/>
          <w:i/>
          <w:iCs/>
          <w:sz w:val="16"/>
          <w:szCs w:val="16"/>
        </w:rPr>
        <w:t>Uchádzači a Študenti</w:t>
      </w:r>
      <w:r>
        <w:rPr>
          <w:rFonts w:cs="Calibri"/>
          <w:i/>
          <w:sz w:val="16"/>
          <w:szCs w:val="16"/>
        </w:rPr>
        <w:t>. V samostatnej záložke  Možnosti štúdia sú všetky relevantné informácie pre uchádzačov o štúdium na FF PU  v Prešove, napr. podmienky prijatia na štúdium, postup prijímania na štúdium, postup prijímania, sumy školného atď.</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Odkaz: https://www.unipo.sk/filozoficka-fakulta/moznosti-studia/</w:t>
      </w:r>
    </w:p>
    <w:p>
      <w:pPr>
        <w:pStyle w:val="ListParagraph"/>
        <w:spacing w:lineRule="auto" w:line="240" w:before="0" w:after="0"/>
        <w:ind w:left="360" w:right="0" w:hanging="0"/>
        <w:contextualSpacing/>
        <w:rPr>
          <w:rFonts w:cs="Calibri"/>
          <w:color w:val="000000"/>
          <w:sz w:val="16"/>
          <w:szCs w:val="16"/>
        </w:rPr>
      </w:pPr>
      <w:r>
        <w:rPr>
          <w:rFonts w:cs="Calibri"/>
          <w:color w:val="000000"/>
          <w:sz w:val="16"/>
          <w:szCs w:val="16"/>
        </w:rPr>
      </w:r>
    </w:p>
    <w:p>
      <w:pPr>
        <w:pStyle w:val="ListParagraph"/>
        <w:numPr>
          <w:ilvl w:val="0"/>
          <w:numId w:val="14"/>
        </w:numPr>
        <w:spacing w:lineRule="auto" w:line="240" w:before="0" w:after="0"/>
        <w:ind w:left="360" w:right="0" w:hanging="360"/>
        <w:contextualSpacing/>
        <w:rPr>
          <w:rFonts w:cs="Calibri"/>
          <w:color w:val="000000"/>
          <w:sz w:val="16"/>
          <w:szCs w:val="16"/>
        </w:rPr>
      </w:pPr>
      <w:r>
        <w:rPr>
          <w:rFonts w:cs="Calibri"/>
          <w:color w:val="000000"/>
          <w:sz w:val="16"/>
          <w:szCs w:val="16"/>
        </w:rPr>
        <w:t xml:space="preserve">Výsledky prijímacieho konania za posledné obdobie. </w:t>
      </w:r>
    </w:p>
    <w:p>
      <w:pPr>
        <w:pStyle w:val="Normal"/>
        <w:spacing w:lineRule="auto" w:line="240" w:before="0" w:after="0"/>
        <w:ind w:left="426" w:right="0" w:hanging="0"/>
        <w:rPr/>
      </w:pPr>
      <w:r>
        <w:rPr>
          <w:rFonts w:cs="Calibri"/>
          <w:i/>
          <w:color w:val="000000"/>
          <w:sz w:val="16"/>
          <w:szCs w:val="16"/>
        </w:rPr>
        <w:t>Výsledky prijímacieho konania sú súčasťou výročných správ a zároveň sú zverejňované na portále CVTI. Centrum vedecko-technických informácií Slovenskej republiky </w:t>
      </w:r>
      <w:hyperlink r:id="rId70" w:tgtFrame="https://www.cvtisr.sk/cvti-sr-vedecka-kniznica/informacie-o-skolstve/zber-udajov/zber-udajov.html?page_id=9986">
        <w:r>
          <w:rPr>
            <w:rFonts w:cs="Calibri"/>
            <w:i/>
            <w:color w:val="000000"/>
            <w:sz w:val="16"/>
            <w:szCs w:val="16"/>
          </w:rPr>
          <w:t>zostavuje</w:t>
        </w:r>
      </w:hyperlink>
      <w:r>
        <w:rPr>
          <w:rFonts w:cs="Calibri"/>
          <w:i/>
          <w:color w:val="000000"/>
          <w:sz w:val="16"/>
          <w:szCs w:val="16"/>
        </w:rPr>
        <w:t> a </w:t>
      </w:r>
      <w:hyperlink r:id="rId71" w:tgtFrame="https://www.cvtisr.sk/cvti-sr-vedecka-kniznica/informacie-o-skolstve/skolstvo/vysoke-skoly/prijimacky-na-vysoke-skoly/rebricky.html?page_id=10299">
        <w:r>
          <w:rPr>
            <w:rFonts w:cs="Calibri"/>
            <w:i/>
            <w:color w:val="000000"/>
            <w:sz w:val="16"/>
            <w:szCs w:val="16"/>
          </w:rPr>
          <w:t>zverejňuje</w:t>
        </w:r>
      </w:hyperlink>
      <w:r>
        <w:rPr>
          <w:rFonts w:cs="Calibri"/>
          <w:i/>
          <w:color w:val="000000"/>
          <w:sz w:val="16"/>
          <w:szCs w:val="16"/>
        </w:rPr>
        <w:t> štatistiky </w:t>
      </w:r>
      <w:r>
        <w:fldChar w:fldCharType="begin"/>
      </w:r>
      <w:r>
        <w:rPr>
          <w:sz w:val="16"/>
          <w:i/>
          <w:szCs w:val="16"/>
          <w:rFonts w:cs="Calibri"/>
          <w:color w:val="000000"/>
        </w:rPr>
        <w:instrText xml:space="preserve"> HYPERLINK "https://www.cvtisr.sk/cvti-sr-vedecka-kniznica/informacie-o-skolstve/skolstvo/vysoke-skoly/slovnik-pojmov-prijimacieho-konania-na-vysoke-skoly.html?page_id=10302&amp;" \l "wsopk"</w:instrText>
      </w:r>
      <w:r>
        <w:rPr>
          <w:sz w:val="16"/>
          <w:i/>
          <w:szCs w:val="16"/>
          <w:rFonts w:cs="Calibri"/>
          <w:color w:val="000000"/>
        </w:rPr>
        <w:fldChar w:fldCharType="separate"/>
      </w:r>
      <w:r>
        <w:rPr>
          <w:rFonts w:cs="Calibri"/>
          <w:i/>
          <w:color w:val="000000"/>
          <w:sz w:val="16"/>
          <w:szCs w:val="16"/>
        </w:rPr>
        <w:t>prijímacieho konania</w:t>
      </w:r>
      <w:r>
        <w:rPr>
          <w:sz w:val="16"/>
          <w:i/>
          <w:szCs w:val="16"/>
          <w:rFonts w:cs="Calibri"/>
          <w:color w:val="000000"/>
        </w:rPr>
        <w:fldChar w:fldCharType="end"/>
      </w:r>
      <w:r>
        <w:rPr>
          <w:rFonts w:cs="Calibri"/>
          <w:i/>
          <w:color w:val="000000"/>
          <w:sz w:val="16"/>
          <w:szCs w:val="16"/>
        </w:rPr>
        <w:t> na prvý, na spojený prvý a druhý do jedného celku a na druhý stupeň vysokoškolského štúdia.</w:t>
      </w:r>
    </w:p>
    <w:p>
      <w:pPr>
        <w:pStyle w:val="ListParagraph"/>
        <w:spacing w:lineRule="auto" w:line="240" w:before="0" w:after="0"/>
        <w:ind w:left="426" w:right="0" w:hanging="0"/>
        <w:contextualSpacing/>
        <w:jc w:val="both"/>
        <w:rPr/>
      </w:pPr>
      <w:r>
        <w:rPr>
          <w:rFonts w:eastAsia="Calibri" w:cs="Calibri"/>
          <w:i/>
          <w:iCs/>
          <w:color w:val="000000"/>
          <w:sz w:val="16"/>
          <w:szCs w:val="16"/>
        </w:rPr>
        <w:t xml:space="preserve">Odkaz: </w:t>
      </w:r>
      <w:hyperlink r:id="rId72">
        <w:r>
          <w:rPr>
            <w:rStyle w:val="InternetLink"/>
            <w:rFonts w:eastAsia="Calibri" w:cs="Calibri"/>
            <w:i/>
            <w:iCs/>
            <w:color w:val="000000"/>
            <w:sz w:val="16"/>
            <w:szCs w:val="16"/>
          </w:rPr>
          <w:t>https://www.cvtisr.sk/cvti-sr-vedecka-kniznica/informacie-o-skolstve/statistiky/statistika-prijimacieho-konania-na-vysoke-skoly-sr.html?page_id=9723</w:t>
        </w:r>
      </w:hyperlink>
    </w:p>
    <w:p>
      <w:pPr>
        <w:pStyle w:val="ListParagraph"/>
        <w:spacing w:lineRule="auto" w:line="240" w:before="0" w:after="0"/>
        <w:ind w:left="426" w:right="0" w:hanging="0"/>
        <w:contextualSpacing/>
        <w:jc w:val="both"/>
        <w:rPr>
          <w:rFonts w:eastAsia="Calibri" w:cs="Calibri"/>
          <w:i/>
          <w:i/>
          <w:iCs/>
          <w:color w:val="000000"/>
          <w:sz w:val="16"/>
          <w:szCs w:val="16"/>
        </w:rPr>
      </w:pPr>
      <w:r>
        <w:rPr>
          <w:rFonts w:eastAsia="Calibri" w:cs="Calibri"/>
          <w:i/>
          <w:iCs/>
          <w:color w:val="000000"/>
          <w:sz w:val="16"/>
          <w:szCs w:val="16"/>
        </w:rPr>
      </w:r>
    </w:p>
    <w:p>
      <w:pPr>
        <w:pStyle w:val="ListParagraph"/>
        <w:numPr>
          <w:ilvl w:val="0"/>
          <w:numId w:val="1"/>
        </w:numPr>
        <w:spacing w:lineRule="auto" w:line="240" w:before="0" w:after="0"/>
        <w:ind w:left="360" w:right="0" w:hanging="360"/>
        <w:contextualSpacing/>
        <w:rPr>
          <w:b/>
          <w:b/>
          <w:bCs/>
          <w:color w:val="000000"/>
          <w:sz w:val="16"/>
          <w:szCs w:val="16"/>
        </w:rPr>
      </w:pPr>
      <w:r>
        <w:rPr>
          <w:b/>
          <w:bCs/>
          <w:color w:val="000000"/>
          <w:sz w:val="16"/>
          <w:szCs w:val="16"/>
        </w:rPr>
        <w:t xml:space="preserve">Spätná väzba na kvalitu poskytovaného vzdelávania </w:t>
      </w:r>
    </w:p>
    <w:p>
      <w:pPr>
        <w:pStyle w:val="ListParagraph"/>
        <w:numPr>
          <w:ilvl w:val="0"/>
          <w:numId w:val="15"/>
        </w:numPr>
        <w:spacing w:lineRule="auto" w:line="240" w:before="0" w:after="0"/>
        <w:ind w:left="360" w:right="0" w:hanging="360"/>
        <w:contextualSpacing/>
        <w:rPr>
          <w:rFonts w:cs="Calibri"/>
          <w:color w:val="000000"/>
          <w:sz w:val="16"/>
          <w:szCs w:val="16"/>
        </w:rPr>
      </w:pPr>
      <w:r>
        <w:rPr>
          <w:rFonts w:cs="Calibri"/>
          <w:color w:val="000000"/>
          <w:sz w:val="16"/>
          <w:szCs w:val="16"/>
        </w:rPr>
        <w:t xml:space="preserve">Postupy monitorovania a hodnotenia názorov študentov na kvalitu študijného programu. </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Snahou PU je výraznejšie zapojiť študentov do procesu autoevaluácie a evaluácie obsah a realizácie študijných programov, a to nielen v oblasti priamej výučby, ale i podporných služieb, technológií, možnosti zapojenia sa vedeckých, kultúrnych, športových a ďalších extrakurikulárnych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nereliabilná a preto sa hľadajú nové nástroje jednak motivovania študentov k podávaniu spätnej väzby ako aj nástrojov jej doručovania.</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t>Na úrovni inštitútu sa spätná väzba realizuje po ukončení každého semestra pedagógmi za každý vyučovaný predmety. Každý pedagóg svoju spätnú väzbu vyhodnotí a informuje o nej nadriadeného pracovníka (riaditeľa inštitútu). Na základe údajov zo spätnej väzby sa následne prijímajú opatrenia na zvýšenie kvality vyučovania.</w:t>
      </w:r>
    </w:p>
    <w:p>
      <w:pPr>
        <w:pStyle w:val="ListParagraph"/>
        <w:spacing w:lineRule="auto" w:line="240" w:before="0" w:after="0"/>
        <w:ind w:left="360" w:right="0" w:hanging="0"/>
        <w:contextualSpacing/>
        <w:rPr>
          <w:rFonts w:cs="Calibri"/>
          <w:i/>
          <w:i/>
          <w:iCs/>
          <w:color w:val="000000"/>
          <w:sz w:val="16"/>
          <w:szCs w:val="16"/>
        </w:rPr>
      </w:pPr>
      <w:r>
        <w:rPr>
          <w:rFonts w:cs="Calibri"/>
          <w:i/>
          <w:iCs/>
          <w:color w:val="000000"/>
          <w:sz w:val="16"/>
          <w:szCs w:val="16"/>
        </w:rPr>
      </w:r>
    </w:p>
    <w:p>
      <w:pPr>
        <w:pStyle w:val="ListParagraph"/>
        <w:numPr>
          <w:ilvl w:val="0"/>
          <w:numId w:val="15"/>
        </w:numPr>
        <w:spacing w:lineRule="auto" w:line="240" w:before="0" w:after="0"/>
        <w:ind w:left="360" w:right="0" w:hanging="360"/>
        <w:contextualSpacing/>
        <w:rPr>
          <w:rFonts w:cs="Calibri"/>
          <w:color w:val="000000"/>
          <w:sz w:val="16"/>
          <w:szCs w:val="16"/>
        </w:rPr>
      </w:pPr>
      <w:r>
        <w:rPr>
          <w:rFonts w:cs="Calibri"/>
          <w:color w:val="000000"/>
          <w:sz w:val="16"/>
          <w:szCs w:val="16"/>
        </w:rPr>
        <w:t xml:space="preserve">Výsledky spätnej väzby študentov a súvisiace opatrenia na zvyšovania kvality študijného programu. </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Výsledky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p>
      <w:pPr>
        <w:pStyle w:val="ListParagraph"/>
        <w:spacing w:lineRule="auto" w:line="240" w:before="0" w:after="0"/>
        <w:ind w:left="360" w:right="0" w:hanging="0"/>
        <w:contextualSpacing/>
        <w:rPr>
          <w:rFonts w:eastAsia="Calibri" w:cs="Calibri"/>
          <w:i/>
          <w:i/>
          <w:iCs/>
          <w:color w:val="000000"/>
          <w:sz w:val="16"/>
          <w:szCs w:val="16"/>
        </w:rPr>
      </w:pPr>
      <w:r>
        <w:rPr>
          <w:rFonts w:eastAsia="Calibri" w:cs="Calibri"/>
          <w:i/>
          <w:iCs/>
          <w:color w:val="000000"/>
          <w:sz w:val="16"/>
          <w:szCs w:val="16"/>
        </w:rPr>
        <w:t>Spätná väzba je prevažne pozitívna, študenti hodnotia pozitívne najmä ľudský prístup vyučujúcich, ich vysokú fundovanosť, spôsob, akým reagujú na podnety študentov. Oceňujú najmä uplatňovanie na študenta orientovaného prístupu, ktorý podporuje ich aktivitu. Z negatívnej spätnej väzby sa objavujú informácie o nie vždy zrozumiteľne komunikovaných požiadavkách a kritériách hodnotenia a tiež o občasných posunoch v rámci harmonogramu výučby. Študenti občas uvádzajú vysoké nároky na niektorých predmetoch, najmä pri povinných profilových predmetoch, avšak tieto pripomienky sú skúmané aj s ohľadom na povahu predmetov a ich význam pre budovanie profilu absolventa. Vo všeobecnosti sú však všetky námietky komunikované s jednotlivými pedagógmi a na základe zohľadnenia významnosti pripomienok sú tieto následne modifikované, prípadne lepšie komunikované študentom.</w:t>
      </w:r>
    </w:p>
    <w:p>
      <w:pPr>
        <w:pStyle w:val="ListParagraph"/>
        <w:numPr>
          <w:ilvl w:val="0"/>
          <w:numId w:val="15"/>
        </w:numPr>
        <w:spacing w:lineRule="auto" w:line="240" w:before="0" w:after="0"/>
        <w:ind w:left="360" w:right="0" w:hanging="360"/>
        <w:contextualSpacing/>
        <w:rPr>
          <w:rFonts w:cs="Calibri"/>
          <w:color w:val="000000"/>
          <w:sz w:val="16"/>
          <w:szCs w:val="16"/>
        </w:rPr>
      </w:pPr>
      <w:r>
        <w:rPr>
          <w:rFonts w:cs="Calibri"/>
          <w:color w:val="000000"/>
          <w:sz w:val="16"/>
          <w:szCs w:val="16"/>
        </w:rPr>
        <w:t xml:space="preserve">Výsledky spätnej väzby absolventov a súvisiace opatrenia na zvyšovania kvality študijného programu. </w:t>
      </w:r>
    </w:p>
    <w:p>
      <w:pPr>
        <w:pStyle w:val="ListParagraph"/>
        <w:spacing w:lineRule="auto" w:line="240" w:before="0" w:after="0"/>
        <w:ind w:left="360" w:right="0" w:hanging="0"/>
        <w:contextualSpacing/>
        <w:jc w:val="both"/>
        <w:rPr>
          <w:rFonts w:eastAsia="Calibri" w:cs="Calibri"/>
          <w:i/>
          <w:i/>
          <w:iCs/>
          <w:color w:val="000000"/>
          <w:sz w:val="16"/>
          <w:szCs w:val="16"/>
        </w:rPr>
      </w:pPr>
      <w:r>
        <w:rPr>
          <w:rFonts w:eastAsia="Calibri" w:cs="Calibri"/>
          <w:i/>
          <w:iCs/>
          <w:color w:val="000000"/>
          <w:sz w:val="16"/>
          <w:szCs w:val="16"/>
        </w:rPr>
        <w:t xml:space="preserve">Spätná väzba absolventov programu je realizovaná na fakultnej/univerzitnej úrovni. Výsledky sú súčasťou výročných správ. Vzhľadom na skutočnosť, že absolventi programu sú v intenzívnom kontakte s pracovníkmi inštitútu (najmä s didaktikmi) v rámci realizácii rôznych domácich a zahraničných projektov, je vytvorený priestor na získanie informácii o skladbe študijného programu, jeho kvalite a jeho schopnosti reflektovať aktuálne potreby praxe. Dôraz sa kládol najmä na zvýšenie pozornosti pri edukácii žiakov so špecifickými potrebami. </w:t>
      </w:r>
    </w:p>
    <w:p>
      <w:pPr>
        <w:pStyle w:val="ListParagraph"/>
        <w:numPr>
          <w:ilvl w:val="0"/>
          <w:numId w:val="1"/>
        </w:numPr>
        <w:spacing w:lineRule="auto" w:line="240" w:before="0" w:after="0"/>
        <w:ind w:left="360" w:right="0" w:hanging="360"/>
        <w:contextualSpacing/>
        <w:rPr/>
      </w:pPr>
      <w:r>
        <w:rPr>
          <w:b/>
          <w:bCs/>
          <w:color w:val="000000"/>
          <w:sz w:val="16"/>
          <w:szCs w:val="16"/>
        </w:rPr>
        <w:t xml:space="preserve">Odkazy na ďalšie relevantné vnútorné predpisy a informácie týkajúce sa štúdia alebo študenta študijného programu </w:t>
      </w:r>
      <w:r>
        <w:rPr>
          <w:color w:val="000000"/>
          <w:sz w:val="16"/>
          <w:szCs w:val="16"/>
        </w:rPr>
        <w:t xml:space="preserve">(napr. sprievodca štúdiom, ubytovacie poriadky, smernica o poplatkoch, usmernenia pre študentské pôžičky a podobne).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Možnosti ubytovania študentov: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https://www.unipo.sk/sdj/hlavne-sekcie/pracovisko/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Ubytovací poriadok: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https://www.unipo.sk/public/media/25722/Ubytovac%C3%AD%20poriadok%20SDJ%20PU%202020.pdf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Smernica o poplatkoch v aktuálnom ak. roku: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Link: https://www.unipo.sk/aktuality/37814/</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Štipendijný poriadok PU: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https://www.unipo.sk/public/media/24024/Stipendijny_poriadok2013-final.pdf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Informácie o sociálnych štipendiách: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https://www.unipo.sk/vseobecne-informacie/uvod/stip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Informácie o študentských pôžičkách: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Link: https://www.unipo.sk/public/media/24024/Stipendijny_poriadok2013-final.pdf  (čl. 9)</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Smernica rektora o uznávaní dokladov o vzdelaní vydaných zahraničnými vysokými školami: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https://www.unipo.sk/absolventi/uznavanie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Knižničný a výpožičný poriadok Univerzitnej knižnice PU: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http://www.pulib.sk/web/data/pulib/subory/stranka/ukpu-kniznicny-poriadok.pdf </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Univerzitné pastoračné centrum:</w:t>
      </w:r>
    </w:p>
    <w:p>
      <w:pPr>
        <w:pStyle w:val="Normal"/>
        <w:spacing w:lineRule="auto" w:line="240" w:before="0" w:after="0"/>
        <w:ind w:left="426" w:right="0" w:hanging="0"/>
        <w:rPr>
          <w:rFonts w:cs="Calibri"/>
          <w:i/>
          <w:i/>
          <w:iCs/>
          <w:color w:val="000000"/>
          <w:sz w:val="16"/>
          <w:szCs w:val="16"/>
        </w:rPr>
      </w:pPr>
      <w:r>
        <w:rPr>
          <w:rFonts w:cs="Calibri"/>
          <w:i/>
          <w:iCs/>
          <w:color w:val="000000"/>
          <w:sz w:val="16"/>
          <w:szCs w:val="16"/>
        </w:rPr>
        <w:t xml:space="preserve">Link: http://upc.unipo.sk/ </w:t>
      </w:r>
    </w:p>
    <w:p>
      <w:pPr>
        <w:pStyle w:val="ListParagraph"/>
        <w:spacing w:lineRule="auto" w:line="240" w:before="0" w:after="0"/>
        <w:ind w:left="360" w:right="0" w:hanging="0"/>
        <w:contextualSpacing/>
        <w:rPr>
          <w:rFonts w:cs="Calibri"/>
          <w:b/>
          <w:b/>
          <w:bCs/>
          <w:sz w:val="16"/>
          <w:szCs w:val="16"/>
        </w:rPr>
      </w:pPr>
      <w:r>
        <w:rPr>
          <w:rFonts w:cs="Calibri"/>
          <w:b/>
          <w:bCs/>
          <w:sz w:val="16"/>
          <w:szCs w:val="16"/>
        </w:rPr>
      </w:r>
    </w:p>
    <w:p>
      <w:pPr>
        <w:pStyle w:val="Normal"/>
        <w:spacing w:lineRule="auto" w:line="240" w:before="0" w:after="0"/>
        <w:rPr>
          <w:rFonts w:cs="Calibri"/>
          <w:b/>
          <w:b/>
          <w:sz w:val="16"/>
          <w:szCs w:val="16"/>
        </w:rPr>
      </w:pPr>
      <w:r>
        <w:rPr>
          <w:rFonts w:cs="Calibri"/>
          <w:b/>
          <w:sz w:val="16"/>
          <w:szCs w:val="16"/>
        </w:rPr>
      </w:r>
    </w:p>
    <w:p>
      <w:pPr>
        <w:pStyle w:val="Normal"/>
        <w:spacing w:lineRule="auto" w:line="240" w:before="0" w:after="0"/>
        <w:rPr>
          <w:rFonts w:cs="Calibri"/>
          <w:b/>
          <w:b/>
          <w:sz w:val="16"/>
          <w:szCs w:val="16"/>
        </w:rPr>
      </w:pPr>
      <w:r>
        <w:rPr>
          <w:rFonts w:cs="Calibri"/>
          <w:b/>
          <w:sz w:val="16"/>
          <w:szCs w:val="16"/>
        </w:rPr>
      </w:r>
    </w:p>
    <w:p>
      <w:pPr>
        <w:pStyle w:val="Normal"/>
        <w:spacing w:lineRule="auto" w:line="240" w:before="0" w:after="0"/>
        <w:rPr>
          <w:rFonts w:cs="Calibri"/>
          <w:b/>
          <w:b/>
          <w:sz w:val="16"/>
          <w:szCs w:val="16"/>
        </w:rPr>
      </w:pPr>
      <w:r>
        <w:rPr>
          <w:rFonts w:cs="Calibri"/>
          <w:b/>
          <w:sz w:val="16"/>
          <w:szCs w:val="16"/>
        </w:rPr>
      </w:r>
    </w:p>
    <w:p>
      <w:pPr>
        <w:pStyle w:val="Normal"/>
        <w:spacing w:lineRule="auto" w:line="240" w:before="0" w:after="0"/>
        <w:rPr>
          <w:rFonts w:cs="Calibri"/>
          <w:b/>
          <w:b/>
          <w:sz w:val="16"/>
          <w:szCs w:val="16"/>
        </w:rPr>
      </w:pPr>
      <w:r>
        <w:rPr>
          <w:rFonts w:cs="Calibri"/>
          <w:b/>
          <w:sz w:val="16"/>
          <w:szCs w:val="16"/>
        </w:rPr>
      </w:r>
    </w:p>
    <w:p>
      <w:pPr>
        <w:pStyle w:val="Normal"/>
        <w:spacing w:before="0" w:after="240"/>
        <w:rPr>
          <w:rFonts w:cs="Calibri"/>
          <w:b/>
          <w:b/>
          <w:sz w:val="16"/>
          <w:szCs w:val="16"/>
        </w:rPr>
      </w:pPr>
      <w:r>
        <w:rPr>
          <w:rFonts w:cs="Calibri"/>
          <w:b/>
          <w:sz w:val="16"/>
          <w:szCs w:val="16"/>
        </w:rPr>
      </w:r>
    </w:p>
    <w:p>
      <w:pPr>
        <w:pStyle w:val="Normal"/>
        <w:widowControl/>
        <w:bidi w:val="0"/>
        <w:spacing w:lineRule="auto" w:line="276" w:before="0" w:after="200"/>
        <w:jc w:val="left"/>
        <w:rPr/>
      </w:pPr>
      <w:r>
        <w:rPr/>
      </w:r>
    </w:p>
    <w:sectPr>
      <w:footerReference w:type="default" r:id="rId73"/>
      <w:footerReference w:type="first" r:id="rId74"/>
      <w:footnotePr>
        <w:numFmt w:val="decimal"/>
      </w:footnotePr>
      <w:type w:val="nextPage"/>
      <w:pgSz w:orient="landscape" w:w="16838" w:h="11906"/>
      <w:pgMar w:left="1276" w:right="1417" w:gutter="0" w:header="0" w:top="1276" w:footer="708" w:bottom="1276"/>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TimesNewRomanPSMT">
    <w:charset w:val="01"/>
    <w:family w:val="roman"/>
    <w:pitch w:val="variable"/>
  </w:font>
  <w:font w:name="Liberation Sans">
    <w:altName w:val="Arial"/>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 w:name="&quot;Arial&quo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10</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7</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 xml:space="preserve">Ak zmena nie je úpravou študijného programu podľa § 30 zákona č. 269/2018 Z. z.  </w:t>
      </w:r>
    </w:p>
  </w:footnote>
  <w:footnote w:id="3">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 xml:space="preserve">Uvádza sa len vtedy, ak bola udelená akreditácia študijného programu podľa § 30 zákona č. 269/2018 Z. z. </w:t>
      </w:r>
    </w:p>
  </w:footnote>
  <w:footnote w:id="4">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Podľa Medzinárodnej štandardnej klasifikácie vzdelávania. Odbory vzdelávania a praxe 2013.</w:t>
      </w:r>
    </w:p>
  </w:footnote>
  <w:footnote w:id="5">
    <w:p>
      <w:pPr>
        <w:pStyle w:val="Footnote"/>
        <w:rPr/>
      </w:pPr>
      <w:r>
        <w:rPr>
          <w:rStyle w:val="FootnoteCharacters"/>
        </w:rPr>
        <w:footnoteRef/>
      </w:r>
      <w:r>
        <w:rPr>
          <w:color w:val="0070C0"/>
        </w:rPr>
        <w:t xml:space="preserve"> </w:t>
      </w:r>
      <w:r>
        <w:rPr>
          <w:color w:val="0070C0"/>
          <w:sz w:val="14"/>
          <w:szCs w:val="18"/>
        </w:rPr>
        <w:t>Podľa § 60 zákona č. 131/2002 Z. z. o vysokých školách.</w:t>
      </w:r>
    </w:p>
  </w:footnote>
  <w:footnote w:id="6">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7">
    <w:p>
      <w:pPr>
        <w:pStyle w:val="Footnote"/>
        <w:rPr/>
      </w:pPr>
      <w:r>
        <w:rPr>
          <w:rStyle w:val="FootnoteCharacters"/>
        </w:rPr>
        <w:footnoteRef/>
      </w:r>
      <w:r>
        <w:rPr>
          <w:color w:val="0070C0"/>
          <w:sz w:val="14"/>
          <w:szCs w:val="14"/>
        </w:rPr>
        <w:t xml:space="preserve"> </w:t>
      </w:r>
      <w:r>
        <w:rPr>
          <w:rFonts w:cs="Calibri"/>
          <w:color w:val="0070C0"/>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8">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Ak ide o regulované povolania v súlade s požiadavkami pre získanie odbornej spôsobilosti podľa osobitného predpisu.</w:t>
      </w:r>
    </w:p>
  </w:footnote>
  <w:footnote w:id="9">
    <w:p>
      <w:pPr>
        <w:pStyle w:val="Footnote"/>
        <w:rPr/>
      </w:pPr>
      <w:r>
        <w:rPr>
          <w:rStyle w:val="FootnoteCharacters"/>
        </w:rPr>
        <w:footnoteRef/>
      </w:r>
      <w:r>
        <w:rPr>
          <w:color w:val="0070C0"/>
        </w:rPr>
        <w:t xml:space="preserve"> </w:t>
      </w:r>
      <w:r>
        <w:rPr>
          <w:color w:val="0070C0"/>
          <w:sz w:val="14"/>
          <w:szCs w:val="14"/>
        </w:rPr>
        <w:t>Vybrané charakteristiky obsahu študijného programu môžu byť uvedené priamo v Informačných listoch predmetov alebo doplnené informáciami Informačných listov predmetov.</w:t>
      </w:r>
    </w:p>
  </w:footnote>
  <w:footnote w:id="10">
    <w:p>
      <w:pPr>
        <w:pStyle w:val="Footnote"/>
        <w:rPr>
          <w:color w:val="0070C0"/>
          <w:sz w:val="14"/>
          <w:szCs w:val="14"/>
        </w:rPr>
      </w:pPr>
      <w:r>
        <w:rPr>
          <w:rStyle w:val="FootnoteCharacters"/>
        </w:rPr>
        <w:footnoteRef/>
      </w:r>
      <w:r>
        <w:rPr>
          <w:color w:val="0070C0"/>
          <w:sz w:val="14"/>
          <w:szCs w:val="14"/>
        </w:rPr>
        <w:t xml:space="preserve"> </w:t>
      </w:r>
      <w:r>
        <w:rPr>
          <w:color w:val="0070C0"/>
          <w:sz w:val="14"/>
          <w:szCs w:val="14"/>
        </w:rPr>
        <w:t>V súlade s vyhláškou č. 614/2002 Z. z. o kreditovom systéme štúdia a zákonom č. 131/2002 Z. z. o vysokých školách a o zmene a doplnení niektorých zákonov.</w:t>
      </w:r>
    </w:p>
  </w:footnote>
  <w:footnote w:id="11">
    <w:p>
      <w:pPr>
        <w:pStyle w:val="Footnote"/>
        <w:rPr>
          <w:color w:val="000000"/>
          <w:sz w:val="14"/>
          <w:szCs w:val="18"/>
        </w:rPr>
      </w:pPr>
      <w:r>
        <w:rPr>
          <w:rStyle w:val="FootnoteCharacters"/>
        </w:rPr>
        <w:footnoteRef/>
      </w:r>
      <w:r>
        <w:rPr>
          <w:color w:val="000000"/>
          <w:sz w:val="14"/>
          <w:szCs w:val="18"/>
        </w:rPr>
        <w:t xml:space="preserve"> </w:t>
      </w:r>
      <w:r>
        <w:rPr>
          <w:color w:val="000000"/>
          <w:sz w:val="14"/>
          <w:szCs w:val="18"/>
        </w:rPr>
        <w:t xml:space="preserve">Učitelia zabezpečujúci predmet počas posudzovania umožnia prístup pracovnej skupiny k študijným materiálom predmetu a obsahu jednotlivých vzdelávacích činností. </w:t>
      </w:r>
    </w:p>
  </w:footnote>
  <w:footnote w:id="12">
    <w:p>
      <w:pPr>
        <w:pStyle w:val="Footnote"/>
        <w:rPr/>
      </w:pPr>
      <w:r>
        <w:rPr>
          <w:rStyle w:val="FootnoteCharacters"/>
        </w:rPr>
        <w:footnoteRef/>
      </w:r>
      <w:r>
        <w:rPr>
          <w:color w:val="000000"/>
        </w:rPr>
        <w:t xml:space="preserve"> </w:t>
      </w:r>
      <w:r>
        <w:rPr>
          <w:color w:val="000000"/>
          <w:sz w:val="14"/>
          <w:szCs w:val="14"/>
        </w:rPr>
        <w:t>Odporúčame uvádzať záťaž súvisiacu s kontaktnou aj nekontaktnou výučbou v súlade s ECTS Users' Guide 2015.</w:t>
      </w:r>
    </w:p>
  </w:footnote>
  <w:footnote w:id="13">
    <w:p>
      <w:pPr>
        <w:pStyle w:val="Footnote"/>
        <w:rPr>
          <w:color w:val="000000"/>
          <w:sz w:val="14"/>
          <w:szCs w:val="18"/>
        </w:rPr>
      </w:pPr>
      <w:r>
        <w:rPr>
          <w:rStyle w:val="FootnoteCharacters"/>
        </w:rPr>
        <w:footnoteRef/>
      </w:r>
      <w:r>
        <w:rPr>
          <w:color w:val="000000"/>
          <w:sz w:val="14"/>
          <w:szCs w:val="18"/>
        </w:rPr>
        <w:t xml:space="preserve"> </w:t>
      </w:r>
      <w:r>
        <w:rPr>
          <w:color w:val="000000"/>
          <w:sz w:val="14"/>
          <w:szCs w:val="18"/>
        </w:rPr>
        <w:t>Napr. pri zabezpečovaní odbornej praxe, alebo inej vzdelávacej činnosti uskutočňovanej mimo univerzity.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16"/>
        <w:b/>
        <w:szCs w:val="8"/>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lowerLetter"/>
      <w:lvlText w:val="%1)"/>
      <w:lvlJc w:val="left"/>
      <w:pPr>
        <w:tabs>
          <w:tab w:val="num" w:pos="0"/>
        </w:tabs>
        <w:ind w:left="360" w:hanging="360"/>
      </w:pPr>
      <w:rPr>
        <w:i w:val="false"/>
        <w:i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360" w:hanging="360"/>
      </w:pPr>
      <w:rPr>
        <w:sz w:val="14"/>
        <w:i/>
        <w:szCs w:val="6"/>
        <w:i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Arial" w:hAnsi="Arial" w:cs="Aria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quot;Arial&quot;" w:hAnsi="&quot;Arial&quot;" w:cs="&quot;Arial&quo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revisionView w:insDel="0" w:formatting="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sk-SK" w:eastAsia="sk-SK"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Times New Roman" w:cs="Times New Roman"/>
      <w:color w:val="auto"/>
      <w:kern w:val="0"/>
      <w:sz w:val="22"/>
      <w:szCs w:val="22"/>
      <w:lang w:val="sk-SK" w:eastAsia="en-US" w:bidi="ar-SA"/>
    </w:rPr>
  </w:style>
  <w:style w:type="paragraph" w:styleId="Heading2">
    <w:name w:val="Heading 2"/>
    <w:basedOn w:val="Normal"/>
    <w:next w:val="Normal"/>
    <w:link w:val="Nadpis2Char"/>
    <w:qFormat/>
    <w:pPr>
      <w:keepNext w:val="true"/>
      <w:numPr>
        <w:ilvl w:val="0"/>
        <w:numId w:val="0"/>
      </w:numPr>
      <w:spacing w:before="240" w:after="60"/>
      <w:outlineLvl w:val="1"/>
    </w:pPr>
    <w:rPr>
      <w:rFonts w:ascii="Cambria" w:hAnsi="Cambria"/>
      <w:b/>
      <w:bCs/>
      <w:i/>
      <w:iCs/>
      <w:sz w:val="28"/>
      <w:szCs w:val="28"/>
    </w:rPr>
  </w:style>
  <w:style w:type="paragraph" w:styleId="Heading4">
    <w:name w:val="Heading 4"/>
    <w:basedOn w:val="Normal"/>
    <w:next w:val="Normal"/>
    <w:link w:val="Nadpis4Char"/>
    <w:qFormat/>
    <w:pPr>
      <w:keepNext w:val="true"/>
      <w:keepLines/>
      <w:numPr>
        <w:ilvl w:val="0"/>
        <w:numId w:val="0"/>
      </w:numPr>
      <w:spacing w:before="40" w:after="0"/>
      <w:outlineLvl w:val="3"/>
    </w:pPr>
    <w:rPr>
      <w:rFonts w:ascii="Cambria" w:hAnsi="Cambria" w:eastAsia="Times New Roman" w:cs="Calibri"/>
      <w:i/>
      <w:iCs/>
      <w:color w:val="365F91"/>
    </w:rPr>
  </w:style>
  <w:style w:type="paragraph" w:styleId="Heading7">
    <w:name w:val="Heading 7"/>
    <w:basedOn w:val="Normal"/>
    <w:next w:val="Normal"/>
    <w:link w:val="Nadpis7Char"/>
    <w:qFormat/>
    <w:pPr>
      <w:numPr>
        <w:ilvl w:val="0"/>
        <w:numId w:val="0"/>
      </w:numPr>
      <w:spacing w:lineRule="auto" w:line="240" w:before="240" w:after="60"/>
      <w:outlineLvl w:val="6"/>
    </w:pPr>
    <w:rPr>
      <w:sz w:val="24"/>
      <w:szCs w:val="24"/>
      <w:lang w:eastAsia="sk-SK"/>
    </w:rPr>
  </w:style>
  <w:style w:type="character" w:styleId="DefaultParagraphFont">
    <w:name w:val="Default Paragraph Font"/>
    <w:qFormat/>
    <w:rPr/>
  </w:style>
  <w:style w:type="character" w:styleId="Nadpis2Char">
    <w:name w:val="Nadpis 2 Char"/>
    <w:basedOn w:val="DefaultParagraphFont"/>
    <w:qFormat/>
    <w:rPr>
      <w:rFonts w:ascii="Cambria" w:hAnsi="Cambria" w:cs="Times New Roman"/>
      <w:b/>
      <w:bCs/>
      <w:i/>
      <w:iCs/>
      <w:sz w:val="28"/>
      <w:szCs w:val="28"/>
    </w:rPr>
  </w:style>
  <w:style w:type="character" w:styleId="Nadpis7Char">
    <w:name w:val="Nadpis 7 Char"/>
    <w:basedOn w:val="DefaultParagraphFont"/>
    <w:qFormat/>
    <w:rPr>
      <w:rFonts w:ascii="Calibri" w:hAnsi="Calibri" w:cs="Times New Roman"/>
      <w:sz w:val="24"/>
      <w:szCs w:val="24"/>
      <w:lang w:val="x-none" w:eastAsia="sk-SK"/>
    </w:rPr>
  </w:style>
  <w:style w:type="character" w:styleId="TextbublinyChar">
    <w:name w:val="Text bubliny Char"/>
    <w:basedOn w:val="DefaultParagraphFont"/>
    <w:link w:val="BalloonText"/>
    <w:qFormat/>
    <w:rPr>
      <w:rFonts w:ascii="Tahoma" w:hAnsi="Tahoma" w:cs="Tahoma"/>
      <w:sz w:val="16"/>
      <w:szCs w:val="16"/>
    </w:rPr>
  </w:style>
  <w:style w:type="character" w:styleId="NOVACASTChar">
    <w:name w:val="NOVACAST Char"/>
    <w:link w:val="NOVACAST"/>
    <w:qFormat/>
    <w:rPr>
      <w:rFonts w:ascii="Times New Roman" w:hAnsi="Times New Roman"/>
      <w:b/>
      <w:color w:val="365F91"/>
      <w:sz w:val="28"/>
    </w:rPr>
  </w:style>
  <w:style w:type="character" w:styleId="PolokaChar">
    <w:name w:val="Položka Char"/>
    <w:link w:val="Poloka"/>
    <w:qFormat/>
    <w:rPr>
      <w:rFonts w:ascii="Times New Roman" w:hAnsi="Times New Roman"/>
      <w:b/>
      <w:sz w:val="16"/>
    </w:rPr>
  </w:style>
  <w:style w:type="character" w:styleId="PolokakomentrChar">
    <w:name w:val="Položka_komentár Char"/>
    <w:link w:val="Polokakomentr"/>
    <w:qFormat/>
    <w:rPr>
      <w:rFonts w:ascii="Times New Roman" w:hAnsi="Times New Roman"/>
      <w:i/>
      <w:sz w:val="20"/>
    </w:rPr>
  </w:style>
  <w:style w:type="character" w:styleId="NOVACAST2Char">
    <w:name w:val="NOVACAST_2 Char"/>
    <w:link w:val="NOVACAST2"/>
    <w:qFormat/>
    <w:rPr>
      <w:rFonts w:ascii="Times New Roman" w:hAnsi="Times New Roman"/>
      <w:b/>
      <w:color w:val="365F91"/>
      <w:sz w:val="24"/>
    </w:rPr>
  </w:style>
  <w:style w:type="character" w:styleId="TextvysvetlivkyChar">
    <w:name w:val="Text vysvetlivky Char"/>
    <w:basedOn w:val="DefaultParagraphFont"/>
    <w:qFormat/>
    <w:rPr>
      <w:rFonts w:ascii="Times New Roman" w:hAnsi="Times New Roman" w:cs="Times New Roman"/>
      <w:sz w:val="20"/>
      <w:szCs w:val="20"/>
    </w:rPr>
  </w:style>
  <w:style w:type="character" w:styleId="NOVACAST3Char">
    <w:name w:val="NOVACAST_3 Char"/>
    <w:link w:val="NOVACAST3"/>
    <w:qFormat/>
    <w:rPr>
      <w:rFonts w:ascii="Times New Roman" w:hAnsi="Times New Roman"/>
      <w:b/>
      <w:color w:val="365F91"/>
      <w:sz w:val="20"/>
    </w:rPr>
  </w:style>
  <w:style w:type="character" w:styleId="VysvetlivkaChar">
    <w:name w:val="Vysvetlivka Char"/>
    <w:link w:val="Vysvetlivka"/>
    <w:qFormat/>
    <w:rPr>
      <w:rFonts w:ascii="Times New Roman" w:hAnsi="Times New Roman"/>
      <w:sz w:val="20"/>
    </w:rPr>
  </w:style>
  <w:style w:type="character" w:styleId="EndnoteCharacters">
    <w:name w:val="Endnote Characters"/>
    <w:basedOn w:val="DefaultParagraphFont"/>
    <w:qFormat/>
    <w:rPr>
      <w:rFonts w:cs="Times New Roman"/>
      <w:vertAlign w:val="superscript"/>
    </w:rPr>
  </w:style>
  <w:style w:type="character" w:styleId="EndnoteAnchor">
    <w:name w:val="Endnote Anchor"/>
    <w:rPr>
      <w:rFonts w:cs="Times New Roman"/>
      <w:vertAlign w:val="superscript"/>
    </w:rPr>
  </w:style>
  <w:style w:type="character" w:styleId="HlavikaChar">
    <w:name w:val="Hlavička Char"/>
    <w:basedOn w:val="DefaultParagraphFont"/>
    <w:qFormat/>
    <w:rPr>
      <w:rFonts w:ascii="Times New Roman" w:hAnsi="Times New Roman" w:cs="Times New Roman"/>
      <w:sz w:val="24"/>
    </w:rPr>
  </w:style>
  <w:style w:type="character" w:styleId="ZkladntextChar">
    <w:name w:val="Základný text Char"/>
    <w:basedOn w:val="DefaultParagraphFont"/>
    <w:qFormat/>
    <w:rPr>
      <w:rFonts w:ascii="Times New Roman" w:hAnsi="Times New Roman" w:cs="Times New Roman"/>
      <w:sz w:val="24"/>
      <w:szCs w:val="24"/>
    </w:rPr>
  </w:style>
  <w:style w:type="character" w:styleId="PtaChar">
    <w:name w:val="Päta Char"/>
    <w:basedOn w:val="DefaultParagraphFont"/>
    <w:qFormat/>
    <w:rPr>
      <w:rFonts w:ascii="Times New Roman" w:hAnsi="Times New Roman" w:cs="Times New Roman"/>
      <w:sz w:val="24"/>
    </w:rPr>
  </w:style>
  <w:style w:type="character" w:styleId="PolokahlavikatabukyChar">
    <w:name w:val="Položka_hlavička tabuľky Char"/>
    <w:link w:val="Polokahlavikatabuky"/>
    <w:qFormat/>
    <w:rPr>
      <w:rFonts w:ascii="Times New Roman" w:hAnsi="Times New Roman"/>
      <w:b/>
      <w:color w:val="365F91"/>
      <w:sz w:val="16"/>
    </w:rPr>
  </w:style>
  <w:style w:type="character" w:styleId="Annotationreference">
    <w:name w:val="annotation reference"/>
    <w:basedOn w:val="DefaultParagraphFont"/>
    <w:qFormat/>
    <w:rPr>
      <w:rFonts w:cs="Times New Roman"/>
      <w:sz w:val="16"/>
    </w:rPr>
  </w:style>
  <w:style w:type="character" w:styleId="TextkomentraChar">
    <w:name w:val="Text komentára Char"/>
    <w:basedOn w:val="DefaultParagraphFont"/>
    <w:link w:val="Annotationtext"/>
    <w:qFormat/>
    <w:rPr>
      <w:rFonts w:ascii="Times New Roman" w:hAnsi="Times New Roman" w:cs="Times New Roman"/>
      <w:sz w:val="20"/>
      <w:szCs w:val="20"/>
    </w:rPr>
  </w:style>
  <w:style w:type="character" w:styleId="PredmetkomentraChar131">
    <w:name w:val="Predmet komentára Char131"/>
    <w:basedOn w:val="TextkomentraChar"/>
    <w:qFormat/>
    <w:rPr>
      <w:rFonts w:ascii="Times New Roman" w:hAnsi="Times New Roman" w:cs="Times New Roman"/>
      <w:b/>
      <w:bCs/>
      <w:sz w:val="20"/>
      <w:szCs w:val="20"/>
      <w:lang w:val="x-none" w:eastAsia="en-US"/>
    </w:rPr>
  </w:style>
  <w:style w:type="character" w:styleId="PredmetkomentraChar">
    <w:name w:val="Predmet komentára Char"/>
    <w:basedOn w:val="TextkomentraChar"/>
    <w:link w:val="Annotationsubject"/>
    <w:qFormat/>
    <w:rPr>
      <w:rFonts w:ascii="Times New Roman" w:hAnsi="Times New Roman" w:cs="Times New Roman"/>
      <w:b/>
      <w:bCs/>
      <w:sz w:val="20"/>
      <w:szCs w:val="20"/>
      <w:lang w:val="x-none" w:eastAsia="en-US"/>
    </w:rPr>
  </w:style>
  <w:style w:type="character" w:styleId="PredmetkomentraChar1">
    <w:name w:val="Predmet komentára Char1"/>
    <w:basedOn w:val="TextkomentraChar"/>
    <w:qFormat/>
    <w:rPr>
      <w:rFonts w:ascii="Times New Roman" w:hAnsi="Times New Roman" w:cs="Times New Roman"/>
      <w:b/>
      <w:bCs/>
      <w:sz w:val="20"/>
      <w:szCs w:val="20"/>
      <w:lang w:val="x-none" w:eastAsia="en-US"/>
    </w:rPr>
  </w:style>
  <w:style w:type="character" w:styleId="PredmetkomentraChar130">
    <w:name w:val="Predmet komentára Char130"/>
    <w:basedOn w:val="TextkomentraChar"/>
    <w:qFormat/>
    <w:rPr>
      <w:rFonts w:ascii="Times New Roman" w:hAnsi="Times New Roman" w:cs="Times New Roman"/>
      <w:b/>
      <w:bCs/>
      <w:sz w:val="20"/>
      <w:szCs w:val="20"/>
      <w:lang w:val="x-none" w:eastAsia="en-US"/>
    </w:rPr>
  </w:style>
  <w:style w:type="character" w:styleId="PredmetkomentraChar129">
    <w:name w:val="Predmet komentára Char129"/>
    <w:basedOn w:val="TextkomentraChar"/>
    <w:qFormat/>
    <w:rPr>
      <w:rFonts w:ascii="Times New Roman" w:hAnsi="Times New Roman" w:cs="Times New Roman"/>
      <w:b/>
      <w:bCs/>
      <w:sz w:val="20"/>
      <w:szCs w:val="20"/>
      <w:lang w:val="x-none" w:eastAsia="en-US"/>
    </w:rPr>
  </w:style>
  <w:style w:type="character" w:styleId="PredmetkomentraChar128">
    <w:name w:val="Predmet komentára Char128"/>
    <w:basedOn w:val="TextkomentraChar"/>
    <w:qFormat/>
    <w:rPr>
      <w:rFonts w:ascii="Times New Roman" w:hAnsi="Times New Roman" w:cs="Times New Roman"/>
      <w:b/>
      <w:bCs/>
      <w:sz w:val="20"/>
      <w:szCs w:val="20"/>
      <w:lang w:val="x-none" w:eastAsia="en-US"/>
    </w:rPr>
  </w:style>
  <w:style w:type="character" w:styleId="PredmetkomentraChar127">
    <w:name w:val="Predmet komentára Char127"/>
    <w:basedOn w:val="TextkomentraChar"/>
    <w:qFormat/>
    <w:rPr>
      <w:rFonts w:ascii="Times New Roman" w:hAnsi="Times New Roman" w:cs="Times New Roman"/>
      <w:b/>
      <w:bCs/>
      <w:sz w:val="20"/>
      <w:szCs w:val="20"/>
      <w:lang w:val="x-none" w:eastAsia="en-US"/>
    </w:rPr>
  </w:style>
  <w:style w:type="character" w:styleId="PredmetkomentraChar126">
    <w:name w:val="Predmet komentára Char126"/>
    <w:basedOn w:val="TextkomentraChar"/>
    <w:qFormat/>
    <w:rPr>
      <w:rFonts w:ascii="Times New Roman" w:hAnsi="Times New Roman" w:cs="Times New Roman"/>
      <w:b/>
      <w:bCs/>
      <w:sz w:val="20"/>
      <w:szCs w:val="20"/>
      <w:lang w:val="x-none" w:eastAsia="en-US"/>
    </w:rPr>
  </w:style>
  <w:style w:type="character" w:styleId="PredmetkomentraChar125">
    <w:name w:val="Predmet komentára Char125"/>
    <w:basedOn w:val="TextkomentraChar"/>
    <w:qFormat/>
    <w:rPr>
      <w:rFonts w:ascii="Times New Roman" w:hAnsi="Times New Roman" w:cs="Times New Roman"/>
      <w:b/>
      <w:bCs/>
      <w:sz w:val="20"/>
      <w:szCs w:val="20"/>
      <w:lang w:val="x-none" w:eastAsia="en-US"/>
    </w:rPr>
  </w:style>
  <w:style w:type="character" w:styleId="PredmetkomentraChar124">
    <w:name w:val="Predmet komentára Char124"/>
    <w:basedOn w:val="TextkomentraChar"/>
    <w:qFormat/>
    <w:rPr>
      <w:rFonts w:ascii="Times New Roman" w:hAnsi="Times New Roman" w:cs="Times New Roman"/>
      <w:b/>
      <w:bCs/>
      <w:sz w:val="20"/>
      <w:szCs w:val="20"/>
      <w:lang w:val="x-none" w:eastAsia="en-US"/>
    </w:rPr>
  </w:style>
  <w:style w:type="character" w:styleId="PredmetkomentraChar123">
    <w:name w:val="Predmet komentára Char123"/>
    <w:basedOn w:val="TextkomentraChar"/>
    <w:qFormat/>
    <w:rPr>
      <w:rFonts w:ascii="Times New Roman" w:hAnsi="Times New Roman" w:cs="Times New Roman"/>
      <w:b/>
      <w:bCs/>
      <w:sz w:val="20"/>
      <w:szCs w:val="20"/>
      <w:lang w:val="x-none" w:eastAsia="en-US"/>
    </w:rPr>
  </w:style>
  <w:style w:type="character" w:styleId="PredmetkomentraChar122">
    <w:name w:val="Predmet komentára Char122"/>
    <w:basedOn w:val="TextkomentraChar"/>
    <w:qFormat/>
    <w:rPr>
      <w:rFonts w:ascii="Times New Roman" w:hAnsi="Times New Roman" w:cs="Times New Roman"/>
      <w:b/>
      <w:bCs/>
      <w:sz w:val="20"/>
      <w:szCs w:val="20"/>
    </w:rPr>
  </w:style>
  <w:style w:type="character" w:styleId="PredmetkomentraChar121">
    <w:name w:val="Predmet komentára Char121"/>
    <w:basedOn w:val="TextkomentraChar"/>
    <w:qFormat/>
    <w:rPr>
      <w:rFonts w:ascii="Times New Roman" w:hAnsi="Times New Roman" w:cs="Times New Roman"/>
      <w:b/>
      <w:bCs/>
      <w:sz w:val="20"/>
      <w:szCs w:val="20"/>
    </w:rPr>
  </w:style>
  <w:style w:type="character" w:styleId="PredmetkomentraChar120">
    <w:name w:val="Predmet komentára Char120"/>
    <w:basedOn w:val="TextkomentraChar"/>
    <w:qFormat/>
    <w:rPr>
      <w:rFonts w:ascii="Times New Roman" w:hAnsi="Times New Roman" w:cs="Times New Roman"/>
      <w:b/>
      <w:bCs/>
      <w:sz w:val="20"/>
      <w:szCs w:val="20"/>
    </w:rPr>
  </w:style>
  <w:style w:type="character" w:styleId="PredmetkomentraChar119">
    <w:name w:val="Predmet komentára Char119"/>
    <w:basedOn w:val="TextkomentraChar"/>
    <w:qFormat/>
    <w:rPr>
      <w:rFonts w:ascii="Times New Roman" w:hAnsi="Times New Roman" w:cs="Times New Roman"/>
      <w:b/>
      <w:bCs/>
      <w:sz w:val="20"/>
      <w:szCs w:val="20"/>
    </w:rPr>
  </w:style>
  <w:style w:type="character" w:styleId="PredmetkomentraChar118">
    <w:name w:val="Predmet komentára Char118"/>
    <w:basedOn w:val="TextkomentraChar"/>
    <w:qFormat/>
    <w:rPr>
      <w:rFonts w:ascii="Times New Roman" w:hAnsi="Times New Roman" w:cs="Times New Roman"/>
      <w:b/>
      <w:bCs/>
      <w:sz w:val="20"/>
      <w:szCs w:val="20"/>
    </w:rPr>
  </w:style>
  <w:style w:type="character" w:styleId="PredmetkomentraChar117">
    <w:name w:val="Predmet komentára Char117"/>
    <w:basedOn w:val="TextkomentraChar"/>
    <w:qFormat/>
    <w:rPr>
      <w:rFonts w:ascii="Times New Roman" w:hAnsi="Times New Roman" w:cs="Times New Roman"/>
      <w:b/>
      <w:bCs/>
      <w:sz w:val="20"/>
      <w:szCs w:val="20"/>
    </w:rPr>
  </w:style>
  <w:style w:type="character" w:styleId="PredmetkomentraChar116">
    <w:name w:val="Predmet komentára Char116"/>
    <w:basedOn w:val="TextkomentraChar"/>
    <w:qFormat/>
    <w:rPr>
      <w:rFonts w:ascii="Times New Roman" w:hAnsi="Times New Roman" w:cs="Times New Roman"/>
      <w:b/>
      <w:bCs/>
      <w:sz w:val="20"/>
      <w:szCs w:val="20"/>
    </w:rPr>
  </w:style>
  <w:style w:type="character" w:styleId="PredmetkomentraChar115">
    <w:name w:val="Predmet komentára Char115"/>
    <w:basedOn w:val="TextkomentraChar"/>
    <w:qFormat/>
    <w:rPr>
      <w:rFonts w:ascii="Times New Roman" w:hAnsi="Times New Roman" w:cs="Times New Roman"/>
      <w:b/>
      <w:bCs/>
      <w:sz w:val="20"/>
      <w:szCs w:val="20"/>
    </w:rPr>
  </w:style>
  <w:style w:type="character" w:styleId="PredmetkomentraChar114">
    <w:name w:val="Predmet komentára Char114"/>
    <w:basedOn w:val="TextkomentraChar"/>
    <w:qFormat/>
    <w:rPr>
      <w:rFonts w:ascii="Times New Roman" w:hAnsi="Times New Roman" w:cs="Times New Roman"/>
      <w:b/>
      <w:bCs/>
      <w:sz w:val="20"/>
      <w:szCs w:val="20"/>
    </w:rPr>
  </w:style>
  <w:style w:type="character" w:styleId="PredmetkomentraChar113">
    <w:name w:val="Predmet komentára Char113"/>
    <w:basedOn w:val="TextkomentraChar"/>
    <w:qFormat/>
    <w:rPr>
      <w:rFonts w:ascii="Times New Roman" w:hAnsi="Times New Roman" w:cs="Times New Roman"/>
      <w:b/>
      <w:bCs/>
      <w:sz w:val="20"/>
      <w:szCs w:val="20"/>
    </w:rPr>
  </w:style>
  <w:style w:type="character" w:styleId="PredmetkomentraChar112">
    <w:name w:val="Predmet komentára Char112"/>
    <w:basedOn w:val="TextkomentraChar"/>
    <w:qFormat/>
    <w:rPr>
      <w:rFonts w:ascii="Times New Roman" w:hAnsi="Times New Roman" w:cs="Times New Roman"/>
      <w:b/>
      <w:bCs/>
      <w:sz w:val="20"/>
      <w:szCs w:val="20"/>
    </w:rPr>
  </w:style>
  <w:style w:type="character" w:styleId="PredmetkomentraChar111">
    <w:name w:val="Predmet komentára Char111"/>
    <w:basedOn w:val="TextkomentraChar"/>
    <w:qFormat/>
    <w:rPr>
      <w:rFonts w:ascii="Times New Roman" w:hAnsi="Times New Roman" w:cs="Times New Roman"/>
      <w:b/>
      <w:bCs/>
      <w:sz w:val="20"/>
      <w:szCs w:val="20"/>
      <w:lang w:val="x-none" w:eastAsia="en-US"/>
    </w:rPr>
  </w:style>
  <w:style w:type="character" w:styleId="PredmetkomentraChar110">
    <w:name w:val="Predmet komentára Char110"/>
    <w:basedOn w:val="TextkomentraChar"/>
    <w:qFormat/>
    <w:rPr>
      <w:rFonts w:ascii="Times New Roman" w:hAnsi="Times New Roman" w:cs="Times New Roman"/>
      <w:b/>
      <w:bCs/>
      <w:sz w:val="20"/>
      <w:szCs w:val="20"/>
      <w:lang w:val="x-none" w:eastAsia="en-US"/>
    </w:rPr>
  </w:style>
  <w:style w:type="character" w:styleId="PredmetkomentraChar19">
    <w:name w:val="Predmet komentára Char19"/>
    <w:basedOn w:val="TextkomentraChar"/>
    <w:qFormat/>
    <w:rPr>
      <w:rFonts w:ascii="Times New Roman" w:hAnsi="Times New Roman" w:cs="Times New Roman"/>
      <w:b/>
      <w:bCs/>
      <w:sz w:val="20"/>
      <w:szCs w:val="20"/>
      <w:lang w:val="x-none" w:eastAsia="en-US"/>
    </w:rPr>
  </w:style>
  <w:style w:type="character" w:styleId="PredmetkomentraChar18">
    <w:name w:val="Predmet komentára Char18"/>
    <w:basedOn w:val="TextkomentraChar"/>
    <w:qFormat/>
    <w:rPr>
      <w:rFonts w:ascii="Times New Roman" w:hAnsi="Times New Roman" w:cs="Times New Roman"/>
      <w:b/>
      <w:bCs/>
      <w:sz w:val="20"/>
      <w:szCs w:val="20"/>
      <w:lang w:val="x-none" w:eastAsia="en-US"/>
    </w:rPr>
  </w:style>
  <w:style w:type="character" w:styleId="PredmetkomentraChar17">
    <w:name w:val="Predmet komentára Char17"/>
    <w:basedOn w:val="TextkomentraChar"/>
    <w:qFormat/>
    <w:rPr>
      <w:rFonts w:ascii="Times New Roman" w:hAnsi="Times New Roman" w:cs="Times New Roman"/>
      <w:b/>
      <w:bCs/>
      <w:sz w:val="20"/>
      <w:szCs w:val="20"/>
      <w:lang w:val="x-none" w:eastAsia="en-US"/>
    </w:rPr>
  </w:style>
  <w:style w:type="character" w:styleId="PredmetkomentraChar16">
    <w:name w:val="Predmet komentára Char16"/>
    <w:basedOn w:val="TextkomentraChar"/>
    <w:qFormat/>
    <w:rPr>
      <w:rFonts w:ascii="Times New Roman" w:hAnsi="Times New Roman" w:cs="Times New Roman"/>
      <w:b/>
      <w:bCs/>
      <w:sz w:val="20"/>
      <w:szCs w:val="20"/>
      <w:lang w:val="x-none" w:eastAsia="en-US"/>
    </w:rPr>
  </w:style>
  <w:style w:type="character" w:styleId="PredmetkomentraChar15">
    <w:name w:val="Predmet komentára Char15"/>
    <w:basedOn w:val="TextkomentraChar"/>
    <w:qFormat/>
    <w:rPr>
      <w:rFonts w:ascii="Times New Roman" w:hAnsi="Times New Roman" w:cs="Times New Roman"/>
      <w:b/>
      <w:bCs/>
      <w:sz w:val="20"/>
      <w:szCs w:val="20"/>
      <w:lang w:val="x-none" w:eastAsia="en-US"/>
    </w:rPr>
  </w:style>
  <w:style w:type="character" w:styleId="PredmetkomentraChar14">
    <w:name w:val="Predmet komentára Char14"/>
    <w:basedOn w:val="TextkomentraChar"/>
    <w:qFormat/>
    <w:rPr>
      <w:rFonts w:ascii="Times New Roman" w:hAnsi="Times New Roman" w:cs="Times New Roman"/>
      <w:b/>
      <w:bCs/>
      <w:sz w:val="20"/>
      <w:szCs w:val="20"/>
      <w:lang w:val="x-none" w:eastAsia="en-US"/>
    </w:rPr>
  </w:style>
  <w:style w:type="character" w:styleId="PredmetkomentraChar13">
    <w:name w:val="Predmet komentára Char13"/>
    <w:basedOn w:val="TextkomentraChar"/>
    <w:qFormat/>
    <w:rPr>
      <w:rFonts w:ascii="Times New Roman" w:hAnsi="Times New Roman" w:cs="Times New Roman"/>
      <w:b/>
      <w:bCs/>
      <w:sz w:val="20"/>
      <w:szCs w:val="20"/>
      <w:lang w:val="x-none" w:eastAsia="en-US"/>
    </w:rPr>
  </w:style>
  <w:style w:type="character" w:styleId="PredmetkomentraChar12">
    <w:name w:val="Predmet komentára Char12"/>
    <w:basedOn w:val="TextkomentraChar"/>
    <w:qFormat/>
    <w:rPr>
      <w:rFonts w:ascii="Times New Roman" w:hAnsi="Times New Roman" w:cs="Times New Roman"/>
      <w:b/>
      <w:bCs/>
      <w:sz w:val="20"/>
      <w:szCs w:val="20"/>
      <w:lang w:val="x-none" w:eastAsia="en-US"/>
    </w:rPr>
  </w:style>
  <w:style w:type="character" w:styleId="PredmetkomentraChar11">
    <w:name w:val="Predmet komentára Char11"/>
    <w:basedOn w:val="TextkomentraChar"/>
    <w:qFormat/>
    <w:rPr>
      <w:rFonts w:ascii="Times New Roman" w:hAnsi="Times New Roman" w:cs="Times New Roman"/>
      <w:b/>
      <w:bCs/>
      <w:sz w:val="20"/>
      <w:szCs w:val="20"/>
      <w:lang w:val="x-none" w:eastAsia="en-US"/>
    </w:rPr>
  </w:style>
  <w:style w:type="character" w:styleId="TextpoznmkypodiarouChar">
    <w:name w:val="Text poznámky pod čiarou Char"/>
    <w:basedOn w:val="DefaultParagraphFont"/>
    <w:qFormat/>
    <w:rPr>
      <w:rFonts w:ascii="Times New Roman" w:hAnsi="Times New Roman" w:cs="Times New Roman"/>
      <w:sz w:val="20"/>
      <w:szCs w:val="20"/>
    </w:rPr>
  </w:style>
  <w:style w:type="character" w:styleId="FootnoteCharacters">
    <w:name w:val="Footnote Characters"/>
    <w:basedOn w:val="DefaultParagraphFont"/>
    <w:qFormat/>
    <w:rPr>
      <w:rFonts w:cs="Times New Roman"/>
      <w:vertAlign w:val="superscript"/>
    </w:rPr>
  </w:style>
  <w:style w:type="character" w:styleId="FootnoteAnchor">
    <w:name w:val="Footnote Anchor"/>
    <w:rPr>
      <w:rFonts w:cs="Times New Roman"/>
      <w:vertAlign w:val="superscript"/>
    </w:rPr>
  </w:style>
  <w:style w:type="character" w:styleId="Emphasis">
    <w:name w:val="Emphasis"/>
    <w:qFormat/>
    <w:rPr>
      <w:i/>
      <w:iCs/>
    </w:rPr>
  </w:style>
  <w:style w:type="character" w:styleId="Fontstyle01">
    <w:name w:val="fontstyle01"/>
    <w:qFormat/>
    <w:rPr>
      <w:rFonts w:ascii="TimesNewRomanPSMT" w:hAnsi="TimesNewRomanPSMT"/>
      <w:b w:val="false"/>
      <w:bCs w:val="false"/>
      <w:i w:val="false"/>
      <w:iCs w:val="false"/>
      <w:color w:val="000000"/>
      <w:sz w:val="20"/>
      <w:szCs w:val="20"/>
    </w:rPr>
  </w:style>
  <w:style w:type="character" w:styleId="InternetLink">
    <w:name w:val="Hyperlink"/>
    <w:basedOn w:val="DefaultParagraphFont"/>
    <w:rPr>
      <w:color w:val="0000FF"/>
      <w:u w:val="single"/>
    </w:rPr>
  </w:style>
  <w:style w:type="character" w:styleId="OdsekzoznamuChar">
    <w:name w:val="Odsek zoznamu Char"/>
    <w:link w:val="ListParagraph"/>
    <w:qFormat/>
    <w:rPr>
      <w:rFonts w:cs="Times New Roman"/>
    </w:rPr>
  </w:style>
  <w:style w:type="character" w:styleId="Zarkazkladnhotextu2Char">
    <w:name w:val="Zarážka základného textu 2 Char"/>
    <w:basedOn w:val="DefaultParagraphFont"/>
    <w:link w:val="BodyTextIndent2"/>
    <w:qFormat/>
    <w:rPr>
      <w:rFonts w:cs="Times New Roman"/>
      <w:lang w:eastAsia="en-US"/>
    </w:rPr>
  </w:style>
  <w:style w:type="character" w:styleId="Nadpis4Char">
    <w:name w:val="Nadpis 4 Char"/>
    <w:basedOn w:val="DefaultParagraphFont"/>
    <w:qFormat/>
    <w:rPr>
      <w:rFonts w:ascii="Cambria" w:hAnsi="Cambria" w:eastAsia="Times New Roman" w:cs="Calibri"/>
      <w:i/>
      <w:iCs/>
      <w:color w:val="365F91"/>
      <w:lang w:eastAsia="en-US"/>
    </w:rPr>
  </w:style>
  <w:style w:type="character" w:styleId="Strong">
    <w:name w:val="Strong"/>
    <w:basedOn w:val="DefaultParagraphFont"/>
    <w:qFormat/>
    <w:rPr>
      <w:b/>
      <w:bCs/>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ZkladntextChar"/>
    <w:pPr>
      <w:spacing w:lineRule="auto" w:line="240" w:before="0" w:after="120"/>
    </w:pPr>
    <w:rPr>
      <w:rFonts w:ascii="Times New Roman" w:hAnsi="Times New Roman"/>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TextbublinyChar"/>
    <w:qFormat/>
    <w:pPr>
      <w:spacing w:lineRule="auto" w:line="240" w:before="0" w:after="0"/>
    </w:pPr>
    <w:rPr>
      <w:rFonts w:ascii="Tahoma" w:hAnsi="Tahoma" w:cs="Tahoma"/>
      <w:sz w:val="16"/>
      <w:szCs w:val="16"/>
    </w:rPr>
  </w:style>
  <w:style w:type="paragraph" w:styleId="Poloka">
    <w:name w:val="Položka"/>
    <w:basedOn w:val="Normal"/>
    <w:link w:val="PolokaChar"/>
    <w:qFormat/>
    <w:pPr/>
    <w:rPr>
      <w:rFonts w:ascii="Times New Roman" w:hAnsi="Times New Roman"/>
      <w:b/>
      <w:sz w:val="16"/>
    </w:rPr>
  </w:style>
  <w:style w:type="paragraph" w:styleId="NOVACAST">
    <w:name w:val="NOVACAST"/>
    <w:basedOn w:val="Normal"/>
    <w:link w:val="NOVACASTChar"/>
    <w:qFormat/>
    <w:pPr>
      <w:spacing w:before="0" w:after="0"/>
    </w:pPr>
    <w:rPr>
      <w:rFonts w:ascii="Times New Roman" w:hAnsi="Times New Roman"/>
      <w:b/>
      <w:color w:val="365F91"/>
      <w:sz w:val="28"/>
    </w:rPr>
  </w:style>
  <w:style w:type="paragraph" w:styleId="Polokakomentr">
    <w:name w:val="Položka_komentár"/>
    <w:basedOn w:val="Poloka"/>
    <w:link w:val="PolokakomentrChar"/>
    <w:qFormat/>
    <w:pPr>
      <w:spacing w:lineRule="auto" w:line="240" w:before="0" w:after="0"/>
    </w:pPr>
    <w:rPr>
      <w:b w:val="false"/>
      <w:i/>
      <w:sz w:val="20"/>
    </w:rPr>
  </w:style>
  <w:style w:type="paragraph" w:styleId="NOVACAST2">
    <w:name w:val="NOVACAST_2"/>
    <w:basedOn w:val="NOVACAST"/>
    <w:link w:val="NOVACAST2Char"/>
    <w:qFormat/>
    <w:pPr/>
    <w:rPr>
      <w:sz w:val="24"/>
    </w:rPr>
  </w:style>
  <w:style w:type="paragraph" w:styleId="NOVACAST3">
    <w:name w:val="NOVACAST_3"/>
    <w:basedOn w:val="Poloka"/>
    <w:link w:val="NOVACAST3Char"/>
    <w:qFormat/>
    <w:pPr>
      <w:spacing w:before="0" w:after="0"/>
    </w:pPr>
    <w:rPr>
      <w:color w:val="365F91"/>
      <w:sz w:val="20"/>
    </w:rPr>
  </w:style>
  <w:style w:type="paragraph" w:styleId="Endnote">
    <w:name w:val="Endnote Text"/>
    <w:basedOn w:val="Normal"/>
    <w:link w:val="TextvysvetlivkyChar"/>
    <w:pPr>
      <w:spacing w:lineRule="auto" w:line="240" w:before="0" w:after="0"/>
      <w:jc w:val="both"/>
    </w:pPr>
    <w:rPr>
      <w:rFonts w:ascii="Times New Roman" w:hAnsi="Times New Roman"/>
      <w:sz w:val="16"/>
      <w:szCs w:val="20"/>
    </w:rPr>
  </w:style>
  <w:style w:type="paragraph" w:styleId="Vysvetlivka">
    <w:name w:val="Vysvetlivka"/>
    <w:basedOn w:val="Polokakomentr"/>
    <w:link w:val="VysvetlivkaChar"/>
    <w:qFormat/>
    <w:pPr>
      <w:jc w:val="both"/>
    </w:pPr>
    <w:rPr>
      <w:i w:val="false"/>
    </w:rPr>
  </w:style>
  <w:style w:type="paragraph" w:styleId="Explanation">
    <w:name w:val="Explanation"/>
    <w:basedOn w:val="Normal"/>
    <w:qFormat/>
    <w:pPr>
      <w:spacing w:lineRule="auto" w:line="240" w:before="0" w:after="0"/>
    </w:pPr>
    <w:rPr>
      <w:rFonts w:ascii="Times New Roman" w:hAnsi="Times New Roman"/>
      <w:i/>
      <w:sz w:val="18"/>
      <w:szCs w:val="18"/>
      <w:lang w:eastAsia="sk-SK"/>
    </w:rPr>
  </w:style>
  <w:style w:type="paragraph" w:styleId="HeaderandFooter">
    <w:name w:val="Header and Footer"/>
    <w:basedOn w:val="Normal"/>
    <w:qFormat/>
    <w:pPr/>
    <w:rPr/>
  </w:style>
  <w:style w:type="paragraph" w:styleId="Header">
    <w:name w:val="Header"/>
    <w:basedOn w:val="Normal"/>
    <w:link w:val="HlavikaChar"/>
    <w:pPr>
      <w:tabs>
        <w:tab w:val="clear" w:pos="708"/>
        <w:tab w:val="center" w:pos="4536" w:leader="none"/>
        <w:tab w:val="right" w:pos="9072" w:leader="none"/>
      </w:tabs>
      <w:spacing w:lineRule="auto" w:line="240" w:before="0" w:after="0"/>
    </w:pPr>
    <w:rPr>
      <w:rFonts w:ascii="Times New Roman" w:hAnsi="Times New Roman"/>
      <w:sz w:val="24"/>
    </w:rPr>
  </w:style>
  <w:style w:type="paragraph" w:styleId="Footer">
    <w:name w:val="Footer"/>
    <w:basedOn w:val="Normal"/>
    <w:link w:val="PtaChar"/>
    <w:pPr>
      <w:tabs>
        <w:tab w:val="clear" w:pos="708"/>
        <w:tab w:val="center" w:pos="4536" w:leader="none"/>
        <w:tab w:val="right" w:pos="9072" w:leader="none"/>
      </w:tabs>
      <w:spacing w:lineRule="auto" w:line="240" w:before="0" w:after="0"/>
    </w:pPr>
    <w:rPr>
      <w:rFonts w:ascii="Times New Roman" w:hAnsi="Times New Roman"/>
      <w:sz w:val="24"/>
    </w:rPr>
  </w:style>
  <w:style w:type="paragraph" w:styleId="Polokahlavikatabuky">
    <w:name w:val="Položka_hlavička tabuľky"/>
    <w:basedOn w:val="Poloka"/>
    <w:link w:val="PolokahlavikatabukyChar"/>
    <w:qFormat/>
    <w:pPr>
      <w:spacing w:before="0" w:after="0"/>
    </w:pPr>
    <w:rPr>
      <w:color w:val="365F91"/>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2"/>
      <w:lang w:val="sk-SK" w:eastAsia="en-US" w:bidi="ar-SA"/>
    </w:rPr>
  </w:style>
  <w:style w:type="paragraph" w:styleId="ListParagraph">
    <w:name w:val="List Paragraph"/>
    <w:basedOn w:val="Normal"/>
    <w:link w:val="OdsekzoznamuChar"/>
    <w:qFormat/>
    <w:pPr>
      <w:spacing w:before="0" w:after="200"/>
      <w:ind w:left="720" w:right="0" w:hanging="0"/>
      <w:contextualSpacing/>
    </w:pPr>
    <w:rPr>
      <w:lang w:eastAsia="sk-SK"/>
    </w:rPr>
  </w:style>
  <w:style w:type="paragraph" w:styleId="Count">
    <w:name w:val="Count"/>
    <w:basedOn w:val="Normal"/>
    <w:qFormat/>
    <w:pPr>
      <w:spacing w:lineRule="auto" w:line="240" w:before="0" w:after="0"/>
      <w:ind w:left="936" w:right="0" w:hanging="709"/>
    </w:pPr>
    <w:rPr>
      <w:rFonts w:ascii="Times New Roman" w:hAnsi="Times New Roman"/>
      <w:bCs/>
      <w:szCs w:val="24"/>
      <w:lang w:eastAsia="sk-SK"/>
    </w:rPr>
  </w:style>
  <w:style w:type="paragraph" w:styleId="Annotationtext">
    <w:name w:val="annotation text"/>
    <w:basedOn w:val="Normal"/>
    <w:link w:val="TextkomentraChar"/>
    <w:qFormat/>
    <w:pPr>
      <w:spacing w:lineRule="auto" w:line="240"/>
    </w:pPr>
    <w:rPr>
      <w:rFonts w:ascii="Times New Roman" w:hAnsi="Times New Roman"/>
      <w:sz w:val="20"/>
      <w:szCs w:val="20"/>
    </w:rPr>
  </w:style>
  <w:style w:type="paragraph" w:styleId="Annotationsubject">
    <w:name w:val="annotation subject"/>
    <w:basedOn w:val="Annotationtext"/>
    <w:next w:val="Annotationtext"/>
    <w:link w:val="PredmetkomentraChar"/>
    <w:qFormat/>
    <w:pPr/>
    <w:rPr>
      <w:b/>
      <w:szCs w:val="22"/>
    </w:rPr>
  </w:style>
  <w:style w:type="paragraph" w:styleId="Footnote">
    <w:name w:val="Footnote Text"/>
    <w:basedOn w:val="Normal"/>
    <w:link w:val="TextpoznmkypodiarouChar"/>
    <w:pPr>
      <w:spacing w:lineRule="auto" w:line="240" w:before="0" w:after="0"/>
    </w:pPr>
    <w:rPr>
      <w:rFonts w:ascii="Times New Roman" w:hAnsi="Times New Roman"/>
      <w:sz w:val="20"/>
      <w:szCs w:val="20"/>
    </w:rPr>
  </w:style>
  <w:style w:type="paragraph" w:styleId="Revision">
    <w:name w:val="Revision"/>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2"/>
      <w:lang w:val="sk-SK" w:eastAsia="en-US" w:bidi="ar-SA"/>
    </w:rPr>
  </w:style>
  <w:style w:type="paragraph" w:styleId="BodyTextIndent2">
    <w:name w:val="Body Text Indent 2"/>
    <w:basedOn w:val="Normal"/>
    <w:link w:val="Zarkazkladnhotextu2Char"/>
    <w:qFormat/>
    <w:pPr>
      <w:spacing w:lineRule="auto" w:line="480" w:before="0" w:after="120"/>
      <w:ind w:left="283" w:right="0" w:hanging="0"/>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platnenie.sk/" TargetMode="External"/><Relationship Id="rId3" Type="http://schemas.openxmlformats.org/officeDocument/2006/relationships/hyperlink" Target="https://uplatnenie.sk/?degree=V&#352;&amp;vs=717000000&amp;faculty=717050000&amp;field=7898T00&amp;year=2018" TargetMode="External"/><Relationship Id="rId4" Type="http://schemas.openxmlformats.org/officeDocument/2006/relationships/hyperlink" Target="mailto:peter.kocak@unipo.sk" TargetMode="External"/><Relationship Id="rId5" Type="http://schemas.openxmlformats.org/officeDocument/2006/relationships/hyperlink" Target="mailto:vladislav.gre&#353;lik@unipo.sk" TargetMode="External"/><Relationship Id="rId6" Type="http://schemas.openxmlformats.org/officeDocument/2006/relationships/hyperlink" Target="mailto:martin.zbojan@unipo.sk" TargetMode="External"/><Relationship Id="rId7" Type="http://schemas.openxmlformats.org/officeDocument/2006/relationships/hyperlink" Target="mailto:jaroslav.ondo@unipo.sk" TargetMode="External"/><Relationship Id="rId8" Type="http://schemas.openxmlformats.org/officeDocument/2006/relationships/hyperlink" Target="mailto:peter.jakubik@unipo.sk"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yperlink" Target="https://www.unipo.sk/public/media/0190/STUD 24.9.18 pdf.pdf" TargetMode="External"/><Relationship Id="rId12" Type="http://schemas.openxmlformats.org/officeDocument/2006/relationships/hyperlink" Target="https://www.unipo.sk/public/media/files/docs/u/svk/disciplinarny_poriadok_08.pdf" TargetMode="External"/><Relationship Id="rId13" Type="http://schemas.openxmlformats.org/officeDocument/2006/relationships/hyperlink" Target="https://www.unipo.sk/public/media/0190/STUD 24.9.18 pdf.pdf" TargetMode="External"/><Relationship Id="rId14" Type="http://schemas.openxmlformats.org/officeDocument/2006/relationships/hyperlink" Target="https://www.unipo.sk/zahranicie/erasmus/studenti/" TargetMode="External"/><Relationship Id="rId15" Type="http://schemas.openxmlformats.org/officeDocument/2006/relationships/hyperlink" Target="https://www.unipo.sk/public/media/0190/METODIKA_&#352;&#352;P_april2017.pdf" TargetMode="External"/><Relationship Id="rId16" Type="http://schemas.openxmlformats.org/officeDocument/2006/relationships/hyperlink" Target="https://www.aspi.sk/products/lawText/1/88314/1/2/zakon-c-94-2017-zz-ktorym-sa-meni-a-doplna-zakon-c-9-2010-zz-o-staznostiach-v-zneni-neskorsich-predpisov/zakon-c-94-2017-zz-ktorym-sa-meni-a-doplna-zakon-c-9-2010-zz-o-staznostiach-v-zneni-neskorsich-predpisov" TargetMode="External"/><Relationship Id="rId17" Type="http://schemas.openxmlformats.org/officeDocument/2006/relationships/hyperlink" Target="https://www.unipo.sk/public/media/0190/STUD 24.9.18 pdf.pdf" TargetMode="External"/><Relationship Id="rId18" Type="http://schemas.openxmlformats.org/officeDocument/2006/relationships/hyperlink" Target="https://student.unipo.sk/maisportal/studijneProgramy.mais" TargetMode="External"/><Relationship Id="rId19" Type="http://schemas.openxmlformats.org/officeDocument/2006/relationships/hyperlink" Target="https://www.unipo.sk/vseobecne-informacie/studenti/harmonogram/" TargetMode="External"/><Relationship Id="rId20" Type="http://schemas.openxmlformats.org/officeDocument/2006/relationships/hyperlink" Target="https://student.unipo.sk/maisportal/rozvrhy.mais" TargetMode="External"/><Relationship Id="rId21" Type="http://schemas.openxmlformats.org/officeDocument/2006/relationships/hyperlink" Target="mailto:peter.kocak@unipo.sk" TargetMode="External"/><Relationship Id="rId22" Type="http://schemas.openxmlformats.org/officeDocument/2006/relationships/hyperlink" Target="mailto:peter.kocak@unipo.sk" TargetMode="External"/><Relationship Id="rId23" Type="http://schemas.openxmlformats.org/officeDocument/2006/relationships/hyperlink" Target="mailto:vladislav.gre&#353;lik@unipo.sk" TargetMode="External"/><Relationship Id="rId24" Type="http://schemas.openxmlformats.org/officeDocument/2006/relationships/hyperlink" Target="mailto:martin.zbojan@unipo.sk" TargetMode="External"/><Relationship Id="rId25" Type="http://schemas.openxmlformats.org/officeDocument/2006/relationships/hyperlink" Target="mailto:peter.kocak@unipo.sk" TargetMode="External"/><Relationship Id="rId26" Type="http://schemas.openxmlformats.org/officeDocument/2006/relationships/hyperlink" Target="mailto:vladislav.gre&#353;lik@unipo.sk" TargetMode="External"/><Relationship Id="rId27" Type="http://schemas.openxmlformats.org/officeDocument/2006/relationships/hyperlink" Target="mailto:martin.zbojan@unipo.sk" TargetMode="External"/><Relationship Id="rId28" Type="http://schemas.openxmlformats.org/officeDocument/2006/relationships/hyperlink" Target="mailto:peter.kocak@unipo.sk" TargetMode="External"/><Relationship Id="rId29" Type="http://schemas.openxmlformats.org/officeDocument/2006/relationships/hyperlink" Target="mailto:vladislav.gre&#353;lik@unipo.sk" TargetMode="External"/><Relationship Id="rId30" Type="http://schemas.openxmlformats.org/officeDocument/2006/relationships/hyperlink" Target="mailto:martin.zbojan@unipo.sk" TargetMode="External"/><Relationship Id="rId31" Type="http://schemas.openxmlformats.org/officeDocument/2006/relationships/hyperlink" Target="mailto:jaroslav.ondo@unipo.sk" TargetMode="External"/><Relationship Id="rId32" Type="http://schemas.openxmlformats.org/officeDocument/2006/relationships/hyperlink" Target="mailto:peter.jakubik@unipo.sk" TargetMode="External"/><Relationship Id="rId33" Type="http://schemas.openxmlformats.org/officeDocument/2006/relationships/hyperlink" Target="mailto:jan.zelinka@unipo.sk" TargetMode="External"/><Relationship Id="rId34" Type="http://schemas.openxmlformats.org/officeDocument/2006/relationships/hyperlink" Target="mailto:peter.kocak@unipo.sk" TargetMode="External"/><Relationship Id="rId35" Type="http://schemas.openxmlformats.org/officeDocument/2006/relationships/hyperlink" Target="mailto:vladislav.gre&#353;lik@unipo.sk" TargetMode="External"/><Relationship Id="rId36" Type="http://schemas.openxmlformats.org/officeDocument/2006/relationships/hyperlink" Target="mailto:martin.zbojan@unipo.sk" TargetMode="External"/><Relationship Id="rId37" Type="http://schemas.openxmlformats.org/officeDocument/2006/relationships/hyperlink" Target="mailto:jaroslav.ondo@unipo.sk" TargetMode="External"/><Relationship Id="rId38" Type="http://schemas.openxmlformats.org/officeDocument/2006/relationships/hyperlink" Target="mailto:peter.kocak@unipo.sk" TargetMode="External"/><Relationship Id="rId39" Type="http://schemas.openxmlformats.org/officeDocument/2006/relationships/hyperlink" Target="mailto:vladislav.gre&#353;lik@unipo.sk" TargetMode="External"/><Relationship Id="rId40" Type="http://schemas.openxmlformats.org/officeDocument/2006/relationships/hyperlink" Target="mailto:martin.zbojan@unipo.sk" TargetMode="External"/><Relationship Id="rId41" Type="http://schemas.openxmlformats.org/officeDocument/2006/relationships/hyperlink" Target="mailto:adam.macko@unipo.sk" TargetMode="External"/><Relationship Id="rId42" Type="http://schemas.openxmlformats.org/officeDocument/2006/relationships/hyperlink" Target="mailto:adam.macko@unipo.sk" TargetMode="External"/><Relationship Id="rId43" Type="http://schemas.openxmlformats.org/officeDocument/2006/relationships/hyperlink" Target="mailto:jaroslav.ondo@unipo.sk" TargetMode="External"/><Relationship Id="rId44" Type="http://schemas.openxmlformats.org/officeDocument/2006/relationships/hyperlink" Target="mailto:peter.jakubik@unipo.sk" TargetMode="External"/><Relationship Id="rId45" Type="http://schemas.openxmlformats.org/officeDocument/2006/relationships/hyperlink" Target="mailto:jan.zelinka@unipo.sk" TargetMode="External"/><Relationship Id="rId46" Type="http://schemas.openxmlformats.org/officeDocument/2006/relationships/hyperlink" Target="mailto:emma.pavlova@smail.unipo.sk" TargetMode="External"/><Relationship Id="rId47" Type="http://schemas.openxmlformats.org/officeDocument/2006/relationships/hyperlink" Target="mailto:robert.kiraly@smail.unipo.sk" TargetMode="External"/><Relationship Id="rId48" Type="http://schemas.openxmlformats.org/officeDocument/2006/relationships/hyperlink" Target="mailto:pavol.klimko@smail.unipo.sk" TargetMode="External"/><Relationship Id="rId49" Type="http://schemas.openxmlformats.org/officeDocument/2006/relationships/hyperlink" Target="mailto:kinga.meszarosova@smail.unipo.sk" TargetMode="External"/><Relationship Id="rId50" Type="http://schemas.openxmlformats.org/officeDocument/2006/relationships/hyperlink" Target="mailto:kristina.oravcova@smail.unipo.sk" TargetMode="External"/><Relationship Id="rId51" Type="http://schemas.openxmlformats.org/officeDocument/2006/relationships/hyperlink" Target="mailto:nikola.pelozatova@smail.unipo.sk" TargetMode="External"/><Relationship Id="rId52" Type="http://schemas.openxmlformats.org/officeDocument/2006/relationships/hyperlink" Target="mailto:jana.hudakova@unipo.sk" TargetMode="External"/><Relationship Id="rId53" Type="http://schemas.openxmlformats.org/officeDocument/2006/relationships/hyperlink" Target="tel:051/7570 834" TargetMode="External"/><Relationship Id="rId54" Type="http://schemas.openxmlformats.org/officeDocument/2006/relationships/hyperlink" Target="mailto:katarina.mikitova@unipo.sk" TargetMode="External"/><Relationship Id="rId55" Type="http://schemas.openxmlformats.org/officeDocument/2006/relationships/hyperlink" Target="tel:051/7570164" TargetMode="External"/><Relationship Id="rId56" Type="http://schemas.openxmlformats.org/officeDocument/2006/relationships/hyperlink" Target="mailto:katarina.pavlikova@unipo.sk" TargetMode="External"/><Relationship Id="rId57" Type="http://schemas.openxmlformats.org/officeDocument/2006/relationships/hyperlink" Target="tel:051/7570 172" TargetMode="External"/><Relationship Id="rId58" Type="http://schemas.openxmlformats.org/officeDocument/2006/relationships/hyperlink" Target="mailto:katarina.kuzmova@unipo.sk" TargetMode="External"/><Relationship Id="rId59" Type="http://schemas.openxmlformats.org/officeDocument/2006/relationships/hyperlink" Target="tel:051/7570 169" TargetMode="External"/><Relationship Id="rId60" Type="http://schemas.openxmlformats.org/officeDocument/2006/relationships/hyperlink" Target="mailto:anna.zamborska@unipo.sk" TargetMode="External"/><Relationship Id="rId61" Type="http://schemas.openxmlformats.org/officeDocument/2006/relationships/hyperlink" Target="tel:051/7570830" TargetMode="External"/><Relationship Id="rId62" Type="http://schemas.openxmlformats.org/officeDocument/2006/relationships/hyperlink" Target="mailto:martina.muchova@unipo.sk" TargetMode="External"/><Relationship Id="rId63" Type="http://schemas.openxmlformats.org/officeDocument/2006/relationships/hyperlink" Target="https://elearning.unipo.sk/" TargetMode="External"/><Relationship Id="rId64" Type="http://schemas.openxmlformats.org/officeDocument/2006/relationships/hyperlink" Target="https://www.unipo.sk/fakulta-humanitnych-prirodnych-vied/katedry/upap-fhpv/oppp/statut/" TargetMode="External"/><Relationship Id="rId65" Type="http://schemas.openxmlformats.org/officeDocument/2006/relationships/hyperlink" Target="https://www.unipo.sk/fakulta-humanitnych-prirodnych-vied/katedry/upap-fhpv/oppp/zoznam-skol/" TargetMode="External"/><Relationship Id="rId66" Type="http://schemas.openxmlformats.org/officeDocument/2006/relationships/hyperlink" Target="http://upc.unipo.sk/" TargetMode="External"/><Relationship Id="rId67" Type="http://schemas.openxmlformats.org/officeDocument/2006/relationships/hyperlink" Target="mailto:tatiana.svajkova@unipo.sk" TargetMode="External"/><Relationship Id="rId68" Type="http://schemas.openxmlformats.org/officeDocument/2006/relationships/hyperlink" Target="https://www.unipo.sk/zahranicie/erasmus/studium/" TargetMode="External"/><Relationship Id="rId69" Type="http://schemas.openxmlformats.org/officeDocument/2006/relationships/hyperlink" Target="https://www.unipo.sk/zahranicie/erasmus/staze/" TargetMode="External"/><Relationship Id="rId70" Type="http://schemas.openxmlformats.org/officeDocument/2006/relationships/hyperlink" Target="https://www.cvtisr.sk/cvti-sr-vedecka-kniznica/informacie-o-skolstve/zber-udajov/zber-udajov.html?page_id=9986" TargetMode="External"/><Relationship Id="rId71" Type="http://schemas.openxmlformats.org/officeDocument/2006/relationships/hyperlink" Target="https://www.cvtisr.sk/cvti-sr-vedecka-kniznica/informacie-o-skolstve/skolstvo/vysoke-skoly/prijimacky-na-vysoke-skoly/rebricky.html?page_id=10299" TargetMode="External"/><Relationship Id="rId72" Type="http://schemas.openxmlformats.org/officeDocument/2006/relationships/hyperlink" Target="https://www.cvtisr.sk/cvti-sr-vedecka-kniznica/informacie-o-skolstve/statistiky/statistika-prijimacieho-konania-na-vysoke-skoly-sr.html?page_id=9723" TargetMode="External"/><Relationship Id="rId73" Type="http://schemas.openxmlformats.org/officeDocument/2006/relationships/footer" Target="footer3.xml"/><Relationship Id="rId74" Type="http://schemas.openxmlformats.org/officeDocument/2006/relationships/footer" Target="footer4.xml"/><Relationship Id="rId75" Type="http://schemas.openxmlformats.org/officeDocument/2006/relationships/footnotes" Target="footnotes.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OSP_Bc.dotx</Template>
  <TotalTime>209</TotalTime>
  <Application>LibreOffice/7.3.7.2$Linux_X86_64 LibreOffice_project/30$Build-2</Application>
  <AppVersion>15.0000</AppVersion>
  <Pages>20</Pages>
  <Words>8890</Words>
  <Characters>59978</Characters>
  <CharactersWithSpaces>68610</CharactersWithSpaces>
  <Paragraphs>717</Paragraphs>
  <Company>MSVVaSSR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2023-04-02T22:30:00Z</dcterms:created>
  <dc:creator>Používateľ systému Windows</dc:creator>
  <dc:description/>
  <dc:language>en-US</dc:language>
  <cp:lastModifiedBy/>
  <cp:lastPrinted>2023-04-12T13:48:00Z</cp:lastPrinted>
  <dcterms:modified xsi:type="dcterms:W3CDTF">2026-05-31T13:34:18Z</dcterms:modified>
  <cp:revision>18</cp:revision>
  <dc:subject/>
  <dc:title>III</dc:title>
</cp:coreProperties>
</file>

<file path=docProps/custom.xml><?xml version="1.0" encoding="utf-8"?>
<Properties xmlns="http://schemas.openxmlformats.org/officeDocument/2006/custom-properties" xmlns:vt="http://schemas.openxmlformats.org/officeDocument/2006/docPropsVTypes"/>
</file>