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9A0FC7" w14:textId="77777777" w:rsidR="004A5C66" w:rsidRPr="00F67547" w:rsidRDefault="00000000">
      <w:pPr>
        <w:spacing w:after="60"/>
        <w:jc w:val="center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aps/>
          <w:color w:val="7A4B24"/>
          <w:sz w:val="20"/>
          <w:szCs w:val="20"/>
        </w:rPr>
        <w:t>SYLABUS</w:t>
      </w:r>
    </w:p>
    <w:p w14:paraId="305C01D6" w14:textId="77777777" w:rsidR="004A5C66" w:rsidRPr="00F67547" w:rsidRDefault="00000000">
      <w:pPr>
        <w:spacing w:after="60"/>
        <w:jc w:val="center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sz w:val="32"/>
          <w:szCs w:val="32"/>
        </w:rPr>
        <w:t>Dejiny výtvarného umenia I.</w:t>
      </w:r>
    </w:p>
    <w:p w14:paraId="54BF3F97" w14:textId="77777777" w:rsidR="004A5C66" w:rsidRPr="00F67547" w:rsidRDefault="00000000">
      <w:pPr>
        <w:spacing w:after="40"/>
        <w:jc w:val="center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color w:val="595959"/>
          <w:sz w:val="20"/>
          <w:szCs w:val="20"/>
        </w:rPr>
        <w:t>1IEUK/DEVU1/22 (4 kredity) / 1IEUK/DVUM1/22 (5 kreditov)   ·   1P+1S / 1P+2S</w:t>
      </w:r>
    </w:p>
    <w:p w14:paraId="47F75D52" w14:textId="73A47B8C" w:rsidR="004A5C66" w:rsidRPr="00F67547" w:rsidRDefault="00000000">
      <w:pPr>
        <w:spacing w:after="40"/>
        <w:jc w:val="center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color w:val="595959"/>
          <w:sz w:val="20"/>
          <w:szCs w:val="20"/>
        </w:rPr>
        <w:t>Zimný semester 202</w:t>
      </w:r>
      <w:r w:rsidR="00F67547">
        <w:rPr>
          <w:rFonts w:ascii="Times New Roman" w:hAnsi="Times New Roman" w:cs="Times New Roman"/>
          <w:color w:val="595959"/>
          <w:sz w:val="20"/>
          <w:szCs w:val="20"/>
        </w:rPr>
        <w:t>6</w:t>
      </w:r>
      <w:r w:rsidRPr="00F67547">
        <w:rPr>
          <w:rFonts w:ascii="Times New Roman" w:hAnsi="Times New Roman" w:cs="Times New Roman"/>
          <w:color w:val="595959"/>
          <w:sz w:val="20"/>
          <w:szCs w:val="20"/>
        </w:rPr>
        <w:t>/202</w:t>
      </w:r>
      <w:r w:rsidR="00F67547">
        <w:rPr>
          <w:rFonts w:ascii="Times New Roman" w:hAnsi="Times New Roman" w:cs="Times New Roman"/>
          <w:color w:val="595959"/>
          <w:sz w:val="20"/>
          <w:szCs w:val="20"/>
        </w:rPr>
        <w:t>7</w:t>
      </w:r>
      <w:r w:rsidRPr="00F67547">
        <w:rPr>
          <w:rFonts w:ascii="Times New Roman" w:hAnsi="Times New Roman" w:cs="Times New Roman"/>
          <w:color w:val="595959"/>
          <w:sz w:val="20"/>
          <w:szCs w:val="20"/>
        </w:rPr>
        <w:t xml:space="preserve">  ·  seminárny deň: utorok  ·  12 týždňov, 2</w:t>
      </w:r>
      <w:r w:rsidR="00F67547">
        <w:rPr>
          <w:rFonts w:ascii="Times New Roman" w:hAnsi="Times New Roman" w:cs="Times New Roman"/>
          <w:color w:val="595959"/>
          <w:sz w:val="20"/>
          <w:szCs w:val="20"/>
        </w:rPr>
        <w:t>2</w:t>
      </w:r>
      <w:r w:rsidRPr="00F67547">
        <w:rPr>
          <w:rFonts w:ascii="Times New Roman" w:hAnsi="Times New Roman" w:cs="Times New Roman"/>
          <w:color w:val="595959"/>
          <w:sz w:val="20"/>
          <w:szCs w:val="20"/>
        </w:rPr>
        <w:t xml:space="preserve">. 9. – </w:t>
      </w:r>
      <w:r w:rsidR="00F67547">
        <w:rPr>
          <w:rFonts w:ascii="Times New Roman" w:hAnsi="Times New Roman" w:cs="Times New Roman"/>
          <w:color w:val="595959"/>
          <w:sz w:val="20"/>
          <w:szCs w:val="20"/>
        </w:rPr>
        <w:t>8</w:t>
      </w:r>
      <w:r w:rsidRPr="00F67547">
        <w:rPr>
          <w:rFonts w:ascii="Times New Roman" w:hAnsi="Times New Roman" w:cs="Times New Roman"/>
          <w:color w:val="595959"/>
          <w:sz w:val="20"/>
          <w:szCs w:val="20"/>
        </w:rPr>
        <w:t>. 12. 202</w:t>
      </w:r>
      <w:r w:rsidR="00F67547">
        <w:rPr>
          <w:rFonts w:ascii="Times New Roman" w:hAnsi="Times New Roman" w:cs="Times New Roman"/>
          <w:color w:val="595959"/>
          <w:sz w:val="20"/>
          <w:szCs w:val="20"/>
        </w:rPr>
        <w:t>6</w:t>
      </w:r>
    </w:p>
    <w:p w14:paraId="77C3E7FB" w14:textId="2816837E" w:rsidR="004A5C66" w:rsidRDefault="00000000">
      <w:pPr>
        <w:spacing w:after="300"/>
        <w:jc w:val="center"/>
        <w:rPr>
          <w:rFonts w:ascii="Times New Roman" w:hAnsi="Times New Roman" w:cs="Times New Roman"/>
          <w:color w:val="595959"/>
          <w:sz w:val="20"/>
          <w:szCs w:val="20"/>
        </w:rPr>
      </w:pPr>
      <w:r w:rsidRPr="00F67547">
        <w:rPr>
          <w:rFonts w:ascii="Times New Roman" w:hAnsi="Times New Roman" w:cs="Times New Roman"/>
          <w:color w:val="595959"/>
          <w:sz w:val="20"/>
          <w:szCs w:val="20"/>
        </w:rPr>
        <w:t xml:space="preserve">Zabezpečuje: doc. Mgr. Jana Migašová, PhD.  ·  </w:t>
      </w:r>
      <w:hyperlink r:id="rId5" w:history="1">
        <w:r w:rsidR="00F67547" w:rsidRPr="00C4785E">
          <w:rPr>
            <w:rStyle w:val="Hyperlink"/>
            <w:rFonts w:ascii="Times New Roman" w:hAnsi="Times New Roman" w:cs="Times New Roman"/>
            <w:sz w:val="20"/>
            <w:szCs w:val="20"/>
          </w:rPr>
          <w:t>jana.migasova@unipo.sk</w:t>
        </w:r>
      </w:hyperlink>
    </w:p>
    <w:p w14:paraId="022AAFA0" w14:textId="69583771" w:rsidR="00F67547" w:rsidRPr="00F67547" w:rsidRDefault="00F67547">
      <w:pPr>
        <w:spacing w:after="3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595959"/>
          <w:sz w:val="20"/>
          <w:szCs w:val="20"/>
        </w:rPr>
        <w:t>Miestnosť: 239 / 192</w:t>
      </w:r>
    </w:p>
    <w:p w14:paraId="31A7762E" w14:textId="77777777" w:rsidR="004A5C66" w:rsidRPr="00F67547" w:rsidRDefault="00000000">
      <w:pPr>
        <w:pStyle w:val="Heading1"/>
        <w:pBdr>
          <w:bottom w:val="single" w:sz="6" w:space="4" w:color="7A4B24"/>
        </w:pBdr>
        <w:spacing w:before="400" w:after="2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  <w:sz w:val="28"/>
          <w:szCs w:val="28"/>
        </w:rPr>
        <w:t>Podmienky na absolvovanie predmetu</w:t>
      </w:r>
    </w:p>
    <w:p w14:paraId="006D8F11" w14:textId="5ECB02EE" w:rsidR="004A5C66" w:rsidRPr="00F67547" w:rsidRDefault="00451A04">
      <w:pPr>
        <w:spacing w:after="140" w:line="276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</w:rPr>
        <w:t>Aktívna ú</w:t>
      </w:r>
      <w:r w:rsidR="00000000" w:rsidRPr="00F67547">
        <w:rPr>
          <w:rFonts w:ascii="Times New Roman" w:hAnsi="Times New Roman" w:cs="Times New Roman"/>
        </w:rPr>
        <w:t>časť na všetkých seminároch je povinná.</w:t>
      </w:r>
      <w:r w:rsidRPr="00F67547">
        <w:rPr>
          <w:rFonts w:ascii="Times New Roman" w:hAnsi="Times New Roman" w:cs="Times New Roman"/>
        </w:rPr>
        <w:t xml:space="preserve"> Študenti prichádzajú na semináre pripravení</w:t>
      </w:r>
    </w:p>
    <w:p w14:paraId="0616362D" w14:textId="0F159C80" w:rsidR="004A5C66" w:rsidRPr="00F67547" w:rsidRDefault="00451A04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</w:rPr>
        <w:t>Prezentácia.</w:t>
      </w:r>
      <w:r w:rsidR="00000000" w:rsidRPr="00F67547">
        <w:rPr>
          <w:rFonts w:ascii="Times New Roman" w:hAnsi="Times New Roman" w:cs="Times New Roman"/>
        </w:rPr>
        <w:t xml:space="preserve"> Prostredníctvom prezentačného softvéru </w:t>
      </w:r>
      <w:r w:rsidRPr="00F67547">
        <w:rPr>
          <w:rFonts w:ascii="Times New Roman" w:hAnsi="Times New Roman" w:cs="Times New Roman"/>
        </w:rPr>
        <w:t>tím/</w:t>
      </w:r>
      <w:r w:rsidR="00000000" w:rsidRPr="00F67547">
        <w:rPr>
          <w:rFonts w:ascii="Times New Roman" w:hAnsi="Times New Roman" w:cs="Times New Roman"/>
        </w:rPr>
        <w:t xml:space="preserve">študentka/študent predstaví vybraný </w:t>
      </w:r>
      <w:r w:rsidRPr="00F67547">
        <w:rPr>
          <w:rFonts w:ascii="Times New Roman" w:hAnsi="Times New Roman" w:cs="Times New Roman"/>
        </w:rPr>
        <w:t>umelecko-historický problém</w:t>
      </w:r>
      <w:r w:rsidR="00000000" w:rsidRPr="00F67547">
        <w:rPr>
          <w:rFonts w:ascii="Times New Roman" w:hAnsi="Times New Roman" w:cs="Times New Roman"/>
        </w:rPr>
        <w:t xml:space="preserve"> (15 minút, audio-vizuálny materiál, cca 10 snímok) počas seminára. </w:t>
      </w:r>
    </w:p>
    <w:p w14:paraId="1D291C44" w14:textId="58637594" w:rsidR="004A5C66" w:rsidRPr="00F67547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</w:rPr>
        <w:t>Semestrálna práca – kurátorský zámer fiktívnej výstavy (pozri nižšie)</w:t>
      </w:r>
      <w:r w:rsidR="003A1882" w:rsidRPr="00F67547">
        <w:rPr>
          <w:rFonts w:ascii="Times New Roman" w:hAnsi="Times New Roman" w:cs="Times New Roman"/>
        </w:rPr>
        <w:t xml:space="preserve">. </w:t>
      </w:r>
      <w:r w:rsidRPr="00F67547">
        <w:rPr>
          <w:rFonts w:ascii="Times New Roman" w:hAnsi="Times New Roman" w:cs="Times New Roman"/>
        </w:rPr>
        <w:t>Forma / systém odkazovania: harvardský systém.</w:t>
      </w:r>
    </w:p>
    <w:p w14:paraId="4D2E195A" w14:textId="77777777" w:rsidR="004A5C66" w:rsidRPr="00F67547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</w:rPr>
        <w:t>Verbálna skúška z celého obsahu disciplíny.</w:t>
      </w:r>
    </w:p>
    <w:p w14:paraId="270FF20B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7C708331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2F2F2"/>
            <w:tcMar>
              <w:top w:w="140" w:type="dxa"/>
              <w:left w:w="200" w:type="dxa"/>
              <w:bottom w:w="160" w:type="dxa"/>
              <w:right w:w="200" w:type="dxa"/>
            </w:tcMar>
          </w:tcPr>
          <w:p w14:paraId="29C5548F" w14:textId="77777777" w:rsidR="004A5C66" w:rsidRPr="00F67547" w:rsidRDefault="00000000">
            <w:pPr>
              <w:spacing w:after="8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</w:rPr>
              <w:t>Poznámka: forma prezentovania (tím / individuálne)</w:t>
            </w:r>
          </w:p>
          <w:p w14:paraId="1249AD25" w14:textId="77777777" w:rsidR="004A5C66" w:rsidRPr="00F67547" w:rsidRDefault="00000000">
            <w:pPr>
              <w:spacing w:after="60" w:line="264" w:lineRule="auto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sz w:val="20"/>
                <w:szCs w:val="20"/>
              </w:rPr>
              <w:t>Prezentácie prebiehajú v tímoch (spravidla 2 – 3 študenti) alebo individuálne, v závislosti od reálneho počtu prezentačných seminárov v danom semestri. Štandardne je naplánovaných 12 seminárov, tento počet sa však v praxi pravidelne kráti o štátne sviatky a prípadné pracovné/služobné cesty vyučujúcej – preto sa presný počet prezentačných termínov a s ním aj rozdelenie na tímy alebo individuálne prezentácie potvrdzuje až na úvodnom seminári podľa aktuálneho harmonogramu.</w:t>
            </w:r>
          </w:p>
          <w:p w14:paraId="2F842AF3" w14:textId="77777777" w:rsidR="004A5C66" w:rsidRPr="00F67547" w:rsidRDefault="00000000">
            <w:pPr>
              <w:spacing w:after="60" w:line="264" w:lineRule="auto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sz w:val="20"/>
                <w:szCs w:val="20"/>
              </w:rPr>
              <w:t>Zásada je jednoduchá: menej dostupných termínov → viac tímových prezentácií (aby sa pokryli všetky témy); viac dostupných termínov → priestor pre individuálne prezentácie.</w:t>
            </w:r>
          </w:p>
        </w:tc>
      </w:tr>
    </w:tbl>
    <w:p w14:paraId="0365E39E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7862E64C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2F2F2"/>
            <w:tcMar>
              <w:top w:w="140" w:type="dxa"/>
              <w:left w:w="200" w:type="dxa"/>
              <w:bottom w:w="160" w:type="dxa"/>
              <w:right w:w="200" w:type="dxa"/>
            </w:tcMar>
          </w:tcPr>
          <w:p w14:paraId="76D9DEC4" w14:textId="77777777" w:rsidR="004A5C66" w:rsidRPr="00F67547" w:rsidRDefault="00000000">
            <w:pPr>
              <w:spacing w:after="8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</w:rPr>
              <w:t>Poznámka: identifikačné cvičenie na úvod seminára</w:t>
            </w:r>
          </w:p>
          <w:p w14:paraId="1F43F227" w14:textId="77777777" w:rsidR="004A5C66" w:rsidRPr="00F67547" w:rsidRDefault="00000000">
            <w:pPr>
              <w:spacing w:after="60" w:line="264" w:lineRule="auto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sz w:val="20"/>
                <w:szCs w:val="20"/>
              </w:rPr>
              <w:t>Každý seminár sa začína krátkym identifikačným cvičením: vyučujúca premieta reprodukcie diel/pamiatok (z aktuálnej aj z predchádzajúcich prebraných tém) a študentky/študenti ich identifikujú – autor/kultúra a obdobie, názov diela, približné datovanie, štýl/sloh a charakteristické znaky.</w:t>
            </w:r>
          </w:p>
          <w:p w14:paraId="0CAD79D8" w14:textId="61D7D1AB" w:rsidR="004A5C66" w:rsidRPr="00F67547" w:rsidRDefault="00000000">
            <w:pPr>
              <w:spacing w:after="60" w:line="264" w:lineRule="auto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sz w:val="20"/>
                <w:szCs w:val="20"/>
              </w:rPr>
              <w:t>Na toto cvičenie je potrebné pripravovať sa priebežne, na základe vlastných poznámok z prednášky – identifikačné cvičenie nadväzuje práve na obsah prednášky, nie len na sekundárnu literatúru.</w:t>
            </w:r>
          </w:p>
          <w:p w14:paraId="7628055E" w14:textId="77777777" w:rsidR="004A5C66" w:rsidRPr="00F67547" w:rsidRDefault="00000000">
            <w:pPr>
              <w:spacing w:after="60" w:line="264" w:lineRule="auto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sz w:val="20"/>
                <w:szCs w:val="20"/>
              </w:rPr>
              <w:t>Prezentácia zadanej témy vždy nasleduje bezprostredne po identifikačnom cvičení.</w:t>
            </w:r>
          </w:p>
        </w:tc>
      </w:tr>
    </w:tbl>
    <w:p w14:paraId="0529FB42" w14:textId="77777777" w:rsidR="004A5C66" w:rsidRPr="00F67547" w:rsidRDefault="00000000">
      <w:pPr>
        <w:pStyle w:val="Heading1"/>
        <w:pBdr>
          <w:bottom w:val="single" w:sz="6" w:space="4" w:color="7A4B24"/>
        </w:pBdr>
        <w:spacing w:before="400" w:after="2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  <w:sz w:val="28"/>
          <w:szCs w:val="28"/>
        </w:rPr>
        <w:t>Semestrálna práca</w:t>
      </w:r>
    </w:p>
    <w:p w14:paraId="3698BA04" w14:textId="00AD4110" w:rsidR="004A5C66" w:rsidRPr="00F67547" w:rsidRDefault="00000000">
      <w:pPr>
        <w:spacing w:after="140" w:line="276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</w:rPr>
        <w:t>Semestrálna práca má formu kurátorského zámeru fiktívnej výstavy</w:t>
      </w:r>
      <w:r w:rsidR="00451A04" w:rsidRPr="00F67547">
        <w:rPr>
          <w:rFonts w:ascii="Times New Roman" w:hAnsi="Times New Roman" w:cs="Times New Roman"/>
        </w:rPr>
        <w:t xml:space="preserve"> </w:t>
      </w:r>
      <w:r w:rsidRPr="00F67547">
        <w:rPr>
          <w:rFonts w:ascii="Times New Roman" w:hAnsi="Times New Roman" w:cs="Times New Roman"/>
        </w:rPr>
        <w:t>(kombinované štúdium – 4 strany, jednoodborové – 5 strán), rovnako aj harvardský systém citovania.</w:t>
      </w:r>
    </w:p>
    <w:p w14:paraId="1C24F748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Kurátorský zámer fiktívnej výstavy: </w:t>
      </w:r>
      <w:r w:rsidRPr="00F67547">
        <w:rPr>
          <w:rFonts w:ascii="Times New Roman" w:hAnsi="Times New Roman" w:cs="Times New Roman"/>
        </w:rPr>
        <w:t>návrh mini-výstavy (3 diela, vrátane diela z vlastnej prezentácie) s kurátorským textom, ktorý stavia diela do súvislosti s filozoficko-estetickým problémom obdobia, vrátane krátkych popisiek diel a zdôvodnenia výberu a inštalácie.</w:t>
      </w:r>
    </w:p>
    <w:p w14:paraId="2053BA35" w14:textId="77777777" w:rsidR="004A5C66" w:rsidRPr="00F67547" w:rsidRDefault="00000000">
      <w:pPr>
        <w:spacing w:after="140" w:line="276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</w:rPr>
        <w:t xml:space="preserve">Hodnotenie </w:t>
      </w:r>
      <w:r w:rsidRPr="00F67547">
        <w:rPr>
          <w:rFonts w:ascii="Times New Roman" w:hAnsi="Times New Roman" w:cs="Times New Roman"/>
        </w:rPr>
        <w:t>sa sústreďuje na originalitu a presvedčivosť kurátorskej koncepcie, prácu s konkrétnym dielom a literatúrou a na kvalitu zdôvodnenia výberu – nie na množstvo opísaných faktov.</w:t>
      </w:r>
    </w:p>
    <w:p w14:paraId="471B5826" w14:textId="77777777" w:rsidR="004A5C66" w:rsidRPr="00F67547" w:rsidRDefault="00000000">
      <w:pPr>
        <w:pStyle w:val="Heading1"/>
        <w:pBdr>
          <w:bottom w:val="single" w:sz="6" w:space="4" w:color="7A4B24"/>
        </w:pBdr>
        <w:spacing w:before="400" w:after="2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  <w:sz w:val="28"/>
          <w:szCs w:val="28"/>
        </w:rPr>
        <w:lastRenderedPageBreak/>
        <w:t>Program disciplíny a časový rozvrh (harmonogram seminárov)</w:t>
      </w:r>
    </w:p>
    <w:p w14:paraId="7F117BEC" w14:textId="7B50AB73" w:rsidR="004A5C66" w:rsidRPr="00F67547" w:rsidRDefault="00000000">
      <w:pPr>
        <w:spacing w:after="140" w:line="276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Seminárny deň: utorok. Semester sa reálne začína 21. 9. 2025; keďže 22. 9. 2025 je rektorské voľno, prvý seminár sa koná v utorok 2</w:t>
      </w:r>
      <w:r w:rsidR="00451A04"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9</w:t>
      </w: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. 9. 2025. Spolu 12 seminárov (2</w:t>
      </w:r>
      <w:r w:rsidR="00451A04"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9</w:t>
      </w: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 xml:space="preserve">. 9. – 9. 12. 2025); </w:t>
      </w:r>
      <w:r w:rsidR="00451A04"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 xml:space="preserve">Harmonogram akademického roka 2026/2027: </w:t>
      </w:r>
    </w:p>
    <w:p w14:paraId="5CCC0FEF" w14:textId="7AFB8B13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Seminár 1  ·  utorok 2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2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9. 2025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 xml:space="preserve"> – rektorské voľno</w:t>
      </w:r>
    </w:p>
    <w:p w14:paraId="1B8C1FC4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Úvod do štúdia disciplíny. Ikonografia a ikonografické typy. Diskusia: globálne vs. regionálne dejiny umenia. Poznávanie dejín umenia ako rekonštruovanie dobových podmienok vzniku diela. Organizačné pokyny, výber tém pre prezentácie a seminárne práce.</w:t>
      </w:r>
    </w:p>
    <w:p w14:paraId="69AB50CE" w14:textId="77777777" w:rsidR="004A5C66" w:rsidRPr="00F67547" w:rsidRDefault="00000000">
      <w:pPr>
        <w:spacing w:after="140" w:line="276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</w:rPr>
        <w:t>Bez prezentácie – organizačný seminár (výber tém, vysvetlenie priebehu, identifikačného cvičenia a hodnotenia).</w:t>
      </w:r>
    </w:p>
    <w:p w14:paraId="6C47EE49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1E8D659A" w14:textId="076CE5D5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 xml:space="preserve">Seminár 2  ·  utorok 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29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9. 2025</w:t>
      </w:r>
    </w:p>
    <w:p w14:paraId="317F7AD2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Egyptské umenie (preddynastické obdobie, obd. strednej a novej ríše, neskoré obdobie)</w:t>
      </w:r>
    </w:p>
    <w:p w14:paraId="029794C6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Gombrich, E. Umění pro věčnost. In Příběh umění, s. 55–73; online dokument (CZ): https://www.youtube.com/watch?v=MxF2Q3fewFc; online prednáška (EN): https://www.youtube.com/watch?v=P3j42UEdT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467A1AEB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0C33122D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t>Téma prezentácie (na výber):</w:t>
            </w:r>
          </w:p>
          <w:p w14:paraId="1E4CFC34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Luxor: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urbanizmus teologickým argumentom?</w:t>
            </w:r>
          </w:p>
          <w:p w14:paraId="0A7415AD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Zvieracie skulptúry: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kde je hranica medzi človekom a zvieraťom?</w:t>
            </w:r>
          </w:p>
          <w:p w14:paraId="22703A52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Maat: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harmónia morálna povinnosť, alebo len štýl?</w:t>
            </w:r>
          </w:p>
        </w:tc>
      </w:tr>
    </w:tbl>
    <w:p w14:paraId="55677144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7C710F39" w14:textId="40F1BA8B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 xml:space="preserve">Seminár 3  ·  utorok 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6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10. 2025</w:t>
      </w:r>
    </w:p>
    <w:p w14:paraId="1861EF87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Sumerské, akkadské, babylónske a asýrske umenie</w:t>
      </w:r>
    </w:p>
    <w:p w14:paraId="002EBE3A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Pijoan, J., s. 163–189. Chatelet, A. – Groslier, B.P. s. 14–32. VIDEO o vývoji klinového písma: https://www.youtube.com/watch?v=GrNfD9auhzg; Aššurbanipalov reliéf (eng): https://www.youtube.com/watch?v=J5iEY4hapMQ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6F64B441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1C4462AE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t>Téma prezentácie (na výber):</w:t>
            </w:r>
          </w:p>
          <w:p w14:paraId="068A7C1E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Zikkurat v Ur: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rebrík k bohom, alebo nástroj kontroly?</w:t>
            </w:r>
          </w:p>
          <w:p w14:paraId="09C830AA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Ištarina brána: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môže farba presviedčať namiesto slov?</w:t>
            </w:r>
          </w:p>
          <w:p w14:paraId="5FFFB236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Aššurbanipalov reliéf: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zobrazenie utrpenia zvierat umením, alebo zlyhaním?</w:t>
            </w:r>
          </w:p>
        </w:tc>
      </w:tr>
    </w:tbl>
    <w:p w14:paraId="05641E5F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6CEDE69E" w14:textId="2FA8DC07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Seminár 4  ·  utorok 1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3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10. 2025</w:t>
      </w:r>
    </w:p>
    <w:p w14:paraId="7DB53FDE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Predhelénske a grécke archaické umenie</w:t>
      </w:r>
    </w:p>
    <w:p w14:paraId="2D602D3F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Pijoan, J., Dejiny výtvarného umenia II., s. 7–63. Chatelet, A. – Groslier, B.P. s. 65–80. VIDEO – Palác Knossos (eng): https://www.youtube.com/watch?v=u61jvVD591U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50377A54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5DB49EA1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t>Téma prezentácie (na výber):</w:t>
            </w:r>
          </w:p>
          <w:p w14:paraId="75367109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Palác v Knosse: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labyrint metaforou poznania?</w:t>
            </w:r>
          </w:p>
          <w:p w14:paraId="449B4B59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Kykladské idoly: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abstrakcia primitívna, alebo je to filozofia tela?</w:t>
            </w:r>
          </w:p>
          <w:p w14:paraId="14A67086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Ženy v minojskej maľbe: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sloboda zobrazenia, alebo mýtus, ktorý si vytvárame my?</w:t>
            </w:r>
          </w:p>
        </w:tc>
      </w:tr>
    </w:tbl>
    <w:p w14:paraId="7B5CC473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30E96B1C" w14:textId="7D8B29AF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Seminár 5  ·  utorok 2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0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 xml:space="preserve"> 10. 2025</w:t>
      </w:r>
    </w:p>
    <w:p w14:paraId="05BEEA6A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Klasické grécke antické umenie (za Perikla) a helenistické umenie</w:t>
      </w:r>
    </w:p>
    <w:p w14:paraId="0833A4CD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Pijoan, J. (II.), s. 91–157. Gombrich, E. Velké probuzení. In Příběh umění, s. 76–115. VIDEO: Starověké Řecko: https://www.youtube.com/watch?v=S0p6p4mThzQ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7E536A4D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4045FA1B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t>Téma prezentácie (na výber):</w:t>
            </w:r>
          </w:p>
          <w:p w14:paraId="5798A909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Polykleitov kánon: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krása merateľná, alebo matematika klame o kráse?</w:t>
            </w:r>
          </w:p>
          <w:p w14:paraId="1699A633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Praxitelova Afrodita: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kedy sa telo stáva problémom, nie ideálom?</w:t>
            </w:r>
          </w:p>
          <w:p w14:paraId="1F89A388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Iónsky chrám: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proporcia filozofiou rovnováhy?</w:t>
            </w:r>
          </w:p>
        </w:tc>
      </w:tr>
    </w:tbl>
    <w:p w14:paraId="6121FA44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6F8AEAED" w14:textId="337C520A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Seminár 6  ·  utorok 2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7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10. 2025</w:t>
      </w:r>
    </w:p>
    <w:p w14:paraId="3F637956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Etruské umenie a rímske umenie republiky</w:t>
      </w:r>
    </w:p>
    <w:p w14:paraId="6632C02A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Pijoan, J. (II.), s. 203–225. Chatelet, A. – Groslier, B.P. s. 145–152 (Etruské u.), s. 153–160 (republika po Cézara). VIDEO: https://www.youtube.com/watch?v=dwIeRHXZdrM; online prednáška (eng): http://oyc.yale.edu/history-art/hsar-252/lecture-5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3F7160DB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440308FD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t>Téma prezentácie (na výber):</w:t>
            </w:r>
          </w:p>
          <w:p w14:paraId="437CA3CF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Apolón z Vejí: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úsmev, ktorý klame?</w:t>
            </w:r>
          </w:p>
          <w:p w14:paraId="1FA50422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Chiméra z Arezza: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monštrum ako hranica medzi druhmi?</w:t>
            </w:r>
          </w:p>
          <w:p w14:paraId="189C4E37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Rímska villa: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útek od politiky, alebo jej pokračovanie?</w:t>
            </w:r>
          </w:p>
        </w:tc>
      </w:tr>
    </w:tbl>
    <w:p w14:paraId="7B9D9955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681041AB" w14:textId="745B42FF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 xml:space="preserve">Seminár 7  ·  utorok 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3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11. 2025</w:t>
      </w:r>
    </w:p>
    <w:p w14:paraId="52B43D9F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Rímske umenie za vlády Augusta, Flaviovcov, Antoniovcov a na sklonku Rímskej ríše</w:t>
      </w:r>
    </w:p>
    <w:p w14:paraId="67ACEA4E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Pijoan, J. (II.), s. 241–317. Chatelet, A. – Groslier, B.P. s. 160–192. VIDEO: Založenie Ríma: https://www.youtube.com/watch?v=UM9BMug00pw; Panteón (eng): https://www.youtube.com/watch?v=ANWz9a09KAg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1DB275F9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6FA5A19A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t>Téma prezentácie (na výber):</w:t>
            </w:r>
          </w:p>
          <w:p w14:paraId="40358708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Pantheon: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dôkaz vesmíru, alebo technický trik?</w:t>
            </w:r>
          </w:p>
          <w:p w14:paraId="608A21EF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Palmýra: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komu patrí zničená pamiatka?</w:t>
            </w:r>
          </w:p>
          <w:p w14:paraId="2E44BA79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Ara Pacis: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dá sa mier namaľovať?</w:t>
            </w:r>
          </w:p>
        </w:tc>
      </w:tr>
    </w:tbl>
    <w:p w14:paraId="626485E8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4571F4D1" w14:textId="0E29F0EE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Seminár 8  ·  utorok 1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0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11. 2025</w:t>
      </w:r>
    </w:p>
    <w:p w14:paraId="3FC9C01B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Ranokresťanské a byzantské umenie</w:t>
      </w:r>
    </w:p>
    <w:p w14:paraId="39DB9EE8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Pijoan, J. III., s. 7–49; s. 71–131. Chatelet, A. – Groslier, B.P. s. 193–224. VIDEO: Byzantské umenie (eng, BBC): https://www.youtube.com/watch?v=rBOK3u4qBXk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044071DA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396BEE9E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lastRenderedPageBreak/>
              <w:t>Téma prezentácie (na výber):</w:t>
            </w:r>
          </w:p>
          <w:p w14:paraId="7CADF00C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Ranokresťanské pamiatky v Arménsku: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viera silnejšia v kameni než v texte?</w:t>
            </w:r>
          </w:p>
          <w:p w14:paraId="37DEF598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Teodora v San Vitale: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svätica, alebo mocná žena?</w:t>
            </w:r>
          </w:p>
          <w:p w14:paraId="7F809E28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Projectina skrinka: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komu patrí telo?</w:t>
            </w:r>
          </w:p>
        </w:tc>
      </w:tr>
    </w:tbl>
    <w:p w14:paraId="375C5B7D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6D2E9317" w14:textId="4FEFF360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Seminár 9  ·  utorok 1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7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11. 2025</w:t>
      </w:r>
    </w:p>
    <w:p w14:paraId="2ECDBA8A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Predrománske vizigótske (Španielsko), predrománske anglo-írske, karolínske a ottonské umenie</w:t>
      </w:r>
    </w:p>
    <w:p w14:paraId="257A0A3D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Pijoan, J. III., s. 175–195; 207–226. Chatelet, A. – Groslier, B.P. s. 249–272; Gombrich, E., s. 158–169. VIDEO (eng): Book of Kells: https://www.youtube.com/watch?v=rRGQPJIO5CM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36D3FA2C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55E79249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t>Téma prezentácie (na výber):</w:t>
            </w:r>
          </w:p>
          <w:p w14:paraId="2FE3E957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Utrechtský žaltár: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môže nedokonalá kresba byť pravdivejšia?</w:t>
            </w:r>
          </w:p>
          <w:p w14:paraId="557B7AE2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Evanjeliár z Kellsu: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ornament ako rozptýlenie, alebo cesta k zmyslu?</w:t>
            </w:r>
          </w:p>
          <w:p w14:paraId="7D26067E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Childerichov hrob: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čo si moc berie do hrobu?</w:t>
            </w:r>
          </w:p>
        </w:tc>
      </w:tr>
    </w:tbl>
    <w:p w14:paraId="7D31411F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659C4BFA" w14:textId="358857BD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Seminár 10  ·  utorok 2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4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11. 2025</w:t>
      </w:r>
    </w:p>
    <w:p w14:paraId="381BB0A1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Románske umenie (vo Francúzsku, Španielsku, Taliansku, Nemecku, Anglicku)</w:t>
      </w:r>
    </w:p>
    <w:p w14:paraId="1953DF2A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Pijoan, J. III., s. 229–311. Chatelet, A. – Groslier, B.P. s. 273–288; Gombrich, E. (Cirkev bojující), s. 171–183. VIDEO (eng): https://www.youtube.com/watch?v=CGIOuLh6axs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65B78394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41A51D75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t>Téma prezentácie (na výber):</w:t>
            </w:r>
          </w:p>
          <w:p w14:paraId="7667EB1D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Kláštor v Sénanque: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ticho architektonický materiál?</w:t>
            </w:r>
          </w:p>
          <w:p w14:paraId="0BB3C108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Hodinky vojvodu z Berry: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zbožnosť, alebo márnivosť?</w:t>
            </w:r>
          </w:p>
          <w:p w14:paraId="0A010F60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Žehra: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má provinčný kostol nárok na rovnakú ochranu ako katedrála?</w:t>
            </w:r>
          </w:p>
        </w:tc>
      </w:tr>
    </w:tbl>
    <w:p w14:paraId="4C3FBD53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444EFCF5" w14:textId="2FAD821F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 xml:space="preserve">Seminár 11  ·  utorok 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1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12. 2025</w:t>
      </w:r>
    </w:p>
    <w:p w14:paraId="254B1ABF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Gotické umenie vo Francúzsku, Španielsku a Taliansku</w:t>
      </w:r>
    </w:p>
    <w:p w14:paraId="4D4DDFC3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Pijoan, J. IV., s. 25–103. Chatelet, A. – Groslier, B.P. s. 289–321. VIDEO: Gotické katedrály: https://www.youtube.com/watch?v=sk4sRcU3K3M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7D8B5503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3F8E1588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t>Téma prezentácie (na výber):</w:t>
            </w:r>
          </w:p>
          <w:p w14:paraId="48DCC624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Saint-Denis: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svetlo dôkazom Boha?</w:t>
            </w:r>
          </w:p>
          <w:p w14:paraId="58AA34B5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Notre-Dame v Remeši: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architektúra v službe rituálu moci?</w:t>
            </w:r>
          </w:p>
          <w:p w14:paraId="14B4F799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Kolínsky dóm: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má katedrála právo byť nekonečným projektom?</w:t>
            </w:r>
          </w:p>
        </w:tc>
      </w:tr>
    </w:tbl>
    <w:p w14:paraId="65494947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478D05EE" w14:textId="0C6D0F4C" w:rsidR="004A5C66" w:rsidRPr="00F67547" w:rsidRDefault="00000000">
      <w:pPr>
        <w:shd w:val="clear" w:color="auto" w:fill="2B2B2B"/>
        <w:spacing w:before="360" w:after="1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 xml:space="preserve">Seminár 12  ·  utorok </w:t>
      </w:r>
      <w:r w:rsidR="00DD4AB3"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8</w:t>
      </w:r>
      <w:r w:rsidRPr="00F67547">
        <w:rPr>
          <w:rFonts w:ascii="Times New Roman" w:hAnsi="Times New Roman" w:cs="Times New Roman"/>
          <w:b/>
          <w:bCs/>
          <w:color w:val="FFFFFF"/>
          <w:sz w:val="23"/>
          <w:szCs w:val="23"/>
        </w:rPr>
        <w:t>. 12. 2025</w:t>
      </w:r>
    </w:p>
    <w:p w14:paraId="08294CD6" w14:textId="77777777" w:rsidR="004A5C66" w:rsidRPr="00F67547" w:rsidRDefault="00000000">
      <w:pPr>
        <w:spacing w:after="90" w:line="27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</w:rPr>
        <w:t xml:space="preserve">Téma prednášky: </w:t>
      </w:r>
      <w:r w:rsidRPr="00F67547">
        <w:rPr>
          <w:rFonts w:ascii="Times New Roman" w:hAnsi="Times New Roman" w:cs="Times New Roman"/>
        </w:rPr>
        <w:t>Gotické umenie v strednej a severnej Európe</w:t>
      </w:r>
    </w:p>
    <w:p w14:paraId="33756B42" w14:textId="77777777" w:rsidR="004A5C66" w:rsidRPr="00F67547" w:rsidRDefault="00000000">
      <w:pPr>
        <w:spacing w:after="160" w:line="260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i/>
          <w:iCs/>
          <w:color w:val="595959"/>
          <w:sz w:val="19"/>
          <w:szCs w:val="19"/>
        </w:rPr>
        <w:t>Odporúčané čítanie: Pijoan, J. IV., s. 125–165. Gombrich, E. s. 186–221. VIDEO: Katedrála v Kolíne nad Rýnom: https://www.youtube.com/watch?v=-m4XP1-kfBg</w:t>
      </w:r>
    </w:p>
    <w:tbl>
      <w:tblPr>
        <w:tblW w:w="5000" w:type="pct"/>
        <w:tblBorders>
          <w:top w:val="single" w:sz="4" w:space="0" w:color="7A4B24"/>
          <w:left w:val="single" w:sz="4" w:space="0" w:color="7A4B24"/>
          <w:bottom w:val="single" w:sz="4" w:space="0" w:color="7A4B24"/>
          <w:right w:val="single" w:sz="4" w:space="0" w:color="7A4B2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66031B4F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1E8DC"/>
            <w:tcMar>
              <w:top w:w="130" w:type="dxa"/>
              <w:left w:w="200" w:type="dxa"/>
              <w:bottom w:w="140" w:type="dxa"/>
              <w:right w:w="200" w:type="dxa"/>
            </w:tcMar>
          </w:tcPr>
          <w:p w14:paraId="3AA0A1B0" w14:textId="77777777" w:rsidR="004A5C66" w:rsidRPr="00F67547" w:rsidRDefault="00000000">
            <w:pPr>
              <w:spacing w:after="9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color w:val="7A4B24"/>
              </w:rPr>
              <w:lastRenderedPageBreak/>
              <w:t>Téma prezentácie (na výber):</w:t>
            </w:r>
          </w:p>
          <w:p w14:paraId="3F67A731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Chrám sv. Víta v Prahe: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kópia, alebo vlastná filozofia priestoru?</w:t>
            </w:r>
          </w:p>
          <w:p w14:paraId="0685DCDE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Oltár Majstra Pavla z Levoče: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môže drevorezba niesť teologickú váhu fresky?</w:t>
            </w:r>
          </w:p>
          <w:p w14:paraId="5876F0DC" w14:textId="77777777" w:rsidR="004A5C66" w:rsidRPr="00F67547" w:rsidRDefault="00000000">
            <w:pPr>
              <w:pStyle w:val="ListParagraph"/>
              <w:numPr>
                <w:ilvl w:val="0"/>
                <w:numId w:val="2"/>
              </w:numPr>
              <w:spacing w:after="5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Dóm sv. Štefana vo Viedni: </w:t>
            </w:r>
            <w:r w:rsidRPr="00F675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štýl, alebo klíma?</w:t>
            </w:r>
          </w:p>
        </w:tc>
      </w:tr>
    </w:tbl>
    <w:p w14:paraId="203B9B6A" w14:textId="77777777" w:rsidR="004A5C66" w:rsidRPr="00F67547" w:rsidRDefault="00000000">
      <w:pPr>
        <w:spacing w:before="160" w:after="6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sz w:val="20"/>
          <w:szCs w:val="20"/>
        </w:rPr>
        <w:t>Po poslednej prezentácii: Záverečné kolokvium a organizačné pokyny ku skúške.</w:t>
      </w:r>
    </w:p>
    <w:p w14:paraId="29C5F2B2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29FC718E" w14:textId="77777777" w:rsidR="004A5C66" w:rsidRPr="00F67547" w:rsidRDefault="00000000">
      <w:pPr>
        <w:pStyle w:val="Heading1"/>
        <w:pBdr>
          <w:bottom w:val="single" w:sz="6" w:space="4" w:color="7A4B24"/>
        </w:pBdr>
        <w:spacing w:before="400" w:after="20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  <w:color w:val="1F1F1F"/>
          <w:sz w:val="28"/>
          <w:szCs w:val="28"/>
        </w:rPr>
        <w:t>Literatúra</w:t>
      </w:r>
    </w:p>
    <w:p w14:paraId="549D14B9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ADKINS, L. a ADKINS, R. A., 2012. Antický Řím: encyklopedická príručka. Praha: Slovart.</w:t>
      </w:r>
    </w:p>
    <w:p w14:paraId="2930E9A1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AGNESE, G., 2003. Staroveký Egypt: umenie a archeológia krajiny faraónov. Bratislava: Slovart.</w:t>
      </w:r>
    </w:p>
    <w:p w14:paraId="547F98F5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ALPATOV, M. V., 1978. Dejiny umenia 1.–2. Bratislava: Tatran.</w:t>
      </w:r>
    </w:p>
    <w:p w14:paraId="3E1BD62E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BURAN, D. et al., 2003. Gotika: dejiny slovenského výtvarného umenia. Bratislava: Slovenská národná galéria – Slovart.</w:t>
      </w:r>
    </w:p>
    <w:p w14:paraId="4CF4811F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DUDÁK, V., ed., 2002. Encyklopedie světové architektury: od menhiru k dekonstruktivismu. Diel 1–2, A–K. Praha: Baset.</w:t>
      </w:r>
    </w:p>
    <w:p w14:paraId="5B0A5701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GOMBRICH, E., 1995. Příběh umění. Praha: Argo.</w:t>
      </w:r>
    </w:p>
    <w:p w14:paraId="36B8ABEA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HANUS, L., 1995. Kostol ako symbol. Bratislava: Lúč.</w:t>
      </w:r>
    </w:p>
    <w:p w14:paraId="65A7EEB9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HOLUB, V., 2017. Civilizace starověkého Egypta a Mezopotamie. Holešov: Tigris.</w:t>
      </w:r>
    </w:p>
    <w:p w14:paraId="767E0A51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CHATELET, A. a GROSLIER, B. P., 1996. Světové dějiny umění. Praha: Cesty.</w:t>
      </w:r>
    </w:p>
    <w:p w14:paraId="5C5EC0D5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CHATELET, A. a GROSLIER, B. P., 2004. Svetové dejiny umenia. Praha: Ottovo nakladatelství.</w:t>
      </w:r>
    </w:p>
    <w:p w14:paraId="3A188B83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KIDSON, P., 1974. Umenie sveta: stredovek. Bratislava: Pallas.</w:t>
      </w:r>
    </w:p>
    <w:p w14:paraId="5AACFC27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KOCH, W., 1971. Malý lexikón architektúry: ilustrovaný vreckový lexikón s autorovými 900 kresbami. Bratislava: Tatran.</w:t>
      </w:r>
    </w:p>
    <w:p w14:paraId="39523CA9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LASSUS, J., 1971. Ranokresťanské a byzantské umenie. Bratislava: Pallas.</w:t>
      </w:r>
    </w:p>
    <w:p w14:paraId="22EDE6BA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MICHALOWSKI, K., 1983. Akropola. Bratislava: Tatran.</w:t>
      </w:r>
    </w:p>
    <w:p w14:paraId="1BB9446A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PIJOAN, J., 1987. Dejiny umenia 1.–4. Bratislava: Tatran.</w:t>
      </w:r>
    </w:p>
    <w:p w14:paraId="2D825DFE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RIZZA, A., 2007. Asyřané a Babyloňané: poklady starobylých civilizací. Praha: Euromedia Group – Knižní klub.</w:t>
      </w:r>
    </w:p>
    <w:p w14:paraId="7D5C97AF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ROYT, J., 2006. Slovník biblické ikonografie. Praha: Karolinum.</w:t>
      </w:r>
    </w:p>
    <w:p w14:paraId="6434208A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TOMAN, R. et al., 2005. Gotika. Praha: Slovart.</w:t>
      </w:r>
    </w:p>
    <w:p w14:paraId="3ED133A9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VAVŘÍNEK, V. et al., 2011. Encyklopedie Byzance. Praha: Libri – Slovanský ústav AV ČR.</w:t>
      </w:r>
    </w:p>
    <w:p w14:paraId="7AB7B8F3" w14:textId="77777777" w:rsidR="004A5C66" w:rsidRPr="00F67547" w:rsidRDefault="00000000">
      <w:pPr>
        <w:spacing w:after="120" w:line="264" w:lineRule="auto"/>
        <w:ind w:left="340" w:hanging="34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sz w:val="20"/>
          <w:szCs w:val="20"/>
        </w:rPr>
        <w:t>VITRUVIUS POLLIO, M., 2001. Deset knih o architektuře. Praha: Arista.</w:t>
      </w:r>
    </w:p>
    <w:p w14:paraId="753F4B51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p w14:paraId="18396B2C" w14:textId="77777777" w:rsidR="004A5C66" w:rsidRPr="00F67547" w:rsidRDefault="00000000">
      <w:pPr>
        <w:spacing w:after="140" w:line="276" w:lineRule="auto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  <w:b/>
          <w:bCs/>
        </w:rPr>
        <w:t>Sledujte periodiká:</w:t>
      </w:r>
    </w:p>
    <w:p w14:paraId="6DD13D7D" w14:textId="77777777" w:rsidR="004A5C66" w:rsidRPr="00F67547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</w:rPr>
        <w:t>Časopis Ars (Centrálna študovňa UK)</w:t>
      </w:r>
    </w:p>
    <w:p w14:paraId="0F30E1B2" w14:textId="77777777" w:rsidR="004A5C66" w:rsidRPr="00F67547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</w:rPr>
        <w:t>Portál Ars Lexicon (online): http://www.arslexicon.sk/</w:t>
      </w:r>
    </w:p>
    <w:p w14:paraId="614F11C0" w14:textId="77777777" w:rsidR="004A5C66" w:rsidRPr="00F67547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</w:rPr>
        <w:t>Historická revue</w:t>
      </w:r>
    </w:p>
    <w:p w14:paraId="3168D369" w14:textId="77777777" w:rsidR="004A5C66" w:rsidRPr="00F67547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</w:rPr>
        <w:t>Revue pamiatky a múzeá</w:t>
      </w:r>
    </w:p>
    <w:p w14:paraId="1D8322C3" w14:textId="77777777" w:rsidR="004A5C66" w:rsidRPr="00F67547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F67547">
        <w:rPr>
          <w:rFonts w:ascii="Times New Roman" w:hAnsi="Times New Roman" w:cs="Times New Roman"/>
        </w:rPr>
        <w:t>Centrum pro raně středověké studie – MUNI – podcast Středověk jinak</w:t>
      </w:r>
    </w:p>
    <w:p w14:paraId="4AD94E7C" w14:textId="77777777" w:rsidR="004A5C66" w:rsidRPr="00F67547" w:rsidRDefault="004A5C66">
      <w:pPr>
        <w:spacing w:after="160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5C66" w:rsidRPr="00F67547" w14:paraId="339C0949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2F2F2"/>
            <w:tcMar>
              <w:top w:w="140" w:type="dxa"/>
              <w:left w:w="200" w:type="dxa"/>
              <w:bottom w:w="160" w:type="dxa"/>
              <w:right w:w="200" w:type="dxa"/>
            </w:tcMar>
          </w:tcPr>
          <w:p w14:paraId="0DA4B501" w14:textId="77777777" w:rsidR="004A5C66" w:rsidRPr="00F67547" w:rsidRDefault="00000000">
            <w:pPr>
              <w:spacing w:after="80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b/>
                <w:bCs/>
              </w:rPr>
              <w:t>Poznámka k citovaniu a AI</w:t>
            </w:r>
          </w:p>
          <w:p w14:paraId="02C0A58F" w14:textId="77777777" w:rsidR="004A5C66" w:rsidRPr="00F67547" w:rsidRDefault="00000000">
            <w:pPr>
              <w:spacing w:after="60" w:line="264" w:lineRule="auto"/>
              <w:rPr>
                <w:rFonts w:ascii="Times New Roman" w:hAnsi="Times New Roman" w:cs="Times New Roman"/>
              </w:rPr>
            </w:pPr>
            <w:r w:rsidRPr="00F67547">
              <w:rPr>
                <w:rFonts w:ascii="Times New Roman" w:hAnsi="Times New Roman" w:cs="Times New Roman"/>
                <w:sz w:val="20"/>
                <w:szCs w:val="20"/>
              </w:rPr>
              <w:t>Pri práci s odbornou literatúrou aj pri overovaní AI odpovedí platí rovnaké pravidlo: cituje sa vždy pôvodný, overiteľný zdroj (kniha, štúdia, katalóg), nikdy nie samotný AI nástroj ako autoritatívny prameň faktu. AI výstup môže byť v práci citovaný len ako predmet analýzy (v prílohe AI-reflexie), nie ako zdroj tvrdenia v hlavnom texte.</w:t>
            </w:r>
          </w:p>
        </w:tc>
      </w:tr>
    </w:tbl>
    <w:p w14:paraId="041D010E" w14:textId="77777777" w:rsidR="00D55CB7" w:rsidRPr="00F67547" w:rsidRDefault="00D55CB7">
      <w:pPr>
        <w:rPr>
          <w:rFonts w:ascii="Times New Roman" w:hAnsi="Times New Roman" w:cs="Times New Roman"/>
        </w:rPr>
      </w:pPr>
    </w:p>
    <w:sectPr w:rsidR="00D55CB7" w:rsidRPr="00F6754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362849"/>
    <w:multiLevelType w:val="hybridMultilevel"/>
    <w:tmpl w:val="68EC8FC4"/>
    <w:lvl w:ilvl="0" w:tplc="D056338C">
      <w:start w:val="1"/>
      <w:numFmt w:val="bullet"/>
      <w:lvlText w:val="•"/>
      <w:lvlJc w:val="left"/>
      <w:pPr>
        <w:ind w:left="420" w:hanging="260"/>
      </w:pPr>
    </w:lvl>
    <w:lvl w:ilvl="1" w:tplc="0100AEEA">
      <w:numFmt w:val="decimal"/>
      <w:lvlText w:val=""/>
      <w:lvlJc w:val="left"/>
    </w:lvl>
    <w:lvl w:ilvl="2" w:tplc="F2A0879C">
      <w:numFmt w:val="decimal"/>
      <w:lvlText w:val=""/>
      <w:lvlJc w:val="left"/>
    </w:lvl>
    <w:lvl w:ilvl="3" w:tplc="0D361314">
      <w:numFmt w:val="decimal"/>
      <w:lvlText w:val=""/>
      <w:lvlJc w:val="left"/>
    </w:lvl>
    <w:lvl w:ilvl="4" w:tplc="65084666">
      <w:numFmt w:val="decimal"/>
      <w:lvlText w:val=""/>
      <w:lvlJc w:val="left"/>
    </w:lvl>
    <w:lvl w:ilvl="5" w:tplc="0A722506">
      <w:numFmt w:val="decimal"/>
      <w:lvlText w:val=""/>
      <w:lvlJc w:val="left"/>
    </w:lvl>
    <w:lvl w:ilvl="6" w:tplc="BBE6E8C8">
      <w:numFmt w:val="decimal"/>
      <w:lvlText w:val=""/>
      <w:lvlJc w:val="left"/>
    </w:lvl>
    <w:lvl w:ilvl="7" w:tplc="F448F602">
      <w:numFmt w:val="decimal"/>
      <w:lvlText w:val=""/>
      <w:lvlJc w:val="left"/>
    </w:lvl>
    <w:lvl w:ilvl="8" w:tplc="63CE4D48">
      <w:numFmt w:val="decimal"/>
      <w:lvlText w:val=""/>
      <w:lvlJc w:val="left"/>
    </w:lvl>
  </w:abstractNum>
  <w:abstractNum w:abstractNumId="1" w15:restartNumberingAfterBreak="0">
    <w:nsid w:val="52F24B17"/>
    <w:multiLevelType w:val="hybridMultilevel"/>
    <w:tmpl w:val="EF14985E"/>
    <w:lvl w:ilvl="0" w:tplc="D56C38C0">
      <w:start w:val="1"/>
      <w:numFmt w:val="bullet"/>
      <w:lvlText w:val="●"/>
      <w:lvlJc w:val="left"/>
      <w:pPr>
        <w:ind w:left="720" w:hanging="360"/>
      </w:pPr>
    </w:lvl>
    <w:lvl w:ilvl="1" w:tplc="89608AA6">
      <w:start w:val="1"/>
      <w:numFmt w:val="bullet"/>
      <w:lvlText w:val="○"/>
      <w:lvlJc w:val="left"/>
      <w:pPr>
        <w:ind w:left="1440" w:hanging="360"/>
      </w:pPr>
    </w:lvl>
    <w:lvl w:ilvl="2" w:tplc="9D346848">
      <w:start w:val="1"/>
      <w:numFmt w:val="bullet"/>
      <w:lvlText w:val="■"/>
      <w:lvlJc w:val="left"/>
      <w:pPr>
        <w:ind w:left="2160" w:hanging="360"/>
      </w:pPr>
    </w:lvl>
    <w:lvl w:ilvl="3" w:tplc="11265318">
      <w:start w:val="1"/>
      <w:numFmt w:val="bullet"/>
      <w:lvlText w:val="●"/>
      <w:lvlJc w:val="left"/>
      <w:pPr>
        <w:ind w:left="2880" w:hanging="360"/>
      </w:pPr>
    </w:lvl>
    <w:lvl w:ilvl="4" w:tplc="29CC051E">
      <w:start w:val="1"/>
      <w:numFmt w:val="bullet"/>
      <w:lvlText w:val="○"/>
      <w:lvlJc w:val="left"/>
      <w:pPr>
        <w:ind w:left="3600" w:hanging="360"/>
      </w:pPr>
    </w:lvl>
    <w:lvl w:ilvl="5" w:tplc="9FF649E2">
      <w:start w:val="1"/>
      <w:numFmt w:val="bullet"/>
      <w:lvlText w:val="■"/>
      <w:lvlJc w:val="left"/>
      <w:pPr>
        <w:ind w:left="4320" w:hanging="360"/>
      </w:pPr>
    </w:lvl>
    <w:lvl w:ilvl="6" w:tplc="E88825A8">
      <w:start w:val="1"/>
      <w:numFmt w:val="bullet"/>
      <w:lvlText w:val="●"/>
      <w:lvlJc w:val="left"/>
      <w:pPr>
        <w:ind w:left="5040" w:hanging="360"/>
      </w:pPr>
    </w:lvl>
    <w:lvl w:ilvl="7" w:tplc="DFE4E17A">
      <w:start w:val="1"/>
      <w:numFmt w:val="bullet"/>
      <w:lvlText w:val="●"/>
      <w:lvlJc w:val="left"/>
      <w:pPr>
        <w:ind w:left="5760" w:hanging="360"/>
      </w:pPr>
    </w:lvl>
    <w:lvl w:ilvl="8" w:tplc="BB32F922">
      <w:start w:val="1"/>
      <w:numFmt w:val="bullet"/>
      <w:lvlText w:val="●"/>
      <w:lvlJc w:val="left"/>
      <w:pPr>
        <w:ind w:left="6480" w:hanging="360"/>
      </w:pPr>
    </w:lvl>
  </w:abstractNum>
  <w:num w:numId="1" w16cid:durableId="1678772995">
    <w:abstractNumId w:val="1"/>
    <w:lvlOverride w:ilvl="0">
      <w:startOverride w:val="1"/>
    </w:lvlOverride>
  </w:num>
  <w:num w:numId="2" w16cid:durableId="19695813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C66"/>
    <w:rsid w:val="003A1882"/>
    <w:rsid w:val="00451A04"/>
    <w:rsid w:val="004A5C66"/>
    <w:rsid w:val="00891392"/>
    <w:rsid w:val="00D55CB7"/>
    <w:rsid w:val="00DD4AB3"/>
    <w:rsid w:val="00F6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172701"/>
  <w15:docId w15:val="{F1161AA4-75DB-C443-B764-3277D91D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SK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67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na.migasova@unipo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Migašová Jana</cp:lastModifiedBy>
  <cp:revision>4</cp:revision>
  <dcterms:created xsi:type="dcterms:W3CDTF">2026-09-17T16:29:00Z</dcterms:created>
  <dcterms:modified xsi:type="dcterms:W3CDTF">2026-09-17T17:15:00Z</dcterms:modified>
</cp:coreProperties>
</file>