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E4A6F" w14:textId="77777777" w:rsidR="002410AA" w:rsidRDefault="004B455F" w:rsidP="00435DE4">
      <w:pPr>
        <w:pStyle w:val="Nzov"/>
        <w:spacing w:before="0" w:line="240" w:lineRule="auto"/>
        <w:ind w:left="0"/>
      </w:pPr>
      <w:r>
        <w:t>Témy a okruhy rigoróznych prác</w:t>
      </w:r>
    </w:p>
    <w:p w14:paraId="3DCA4E34" w14:textId="211C8673" w:rsidR="002410AA" w:rsidRDefault="004B455F" w:rsidP="00435DE4">
      <w:pPr>
        <w:pStyle w:val="Nadpis1"/>
        <w:spacing w:line="240" w:lineRule="auto"/>
        <w:ind w:left="0"/>
      </w:pPr>
      <w:r>
        <w:t xml:space="preserve">na akademický </w:t>
      </w:r>
      <w:r w:rsidRPr="00F5726A">
        <w:t xml:space="preserve">rok </w:t>
      </w:r>
      <w:r w:rsidR="0039450A" w:rsidRPr="00F5726A">
        <w:t>202</w:t>
      </w:r>
      <w:r w:rsidR="00E877F6">
        <w:t>4</w:t>
      </w:r>
      <w:r w:rsidRPr="00F5726A">
        <w:t>/</w:t>
      </w:r>
      <w:r w:rsidR="0039450A" w:rsidRPr="00F5726A">
        <w:t>202</w:t>
      </w:r>
      <w:r w:rsidR="00E877F6">
        <w:t>5</w:t>
      </w:r>
      <w:bookmarkStart w:id="0" w:name="_GoBack"/>
      <w:bookmarkEnd w:id="0"/>
    </w:p>
    <w:p w14:paraId="1526FE7B" w14:textId="77777777" w:rsidR="002410AA" w:rsidRDefault="004B455F" w:rsidP="00435DE4">
      <w:pPr>
        <w:rPr>
          <w:b/>
          <w:sz w:val="28"/>
        </w:rPr>
      </w:pPr>
      <w:r>
        <w:rPr>
          <w:b/>
          <w:sz w:val="28"/>
        </w:rPr>
        <w:t>Inštitút estetiky a umeleckej kultúry FF PU</w:t>
      </w:r>
    </w:p>
    <w:p w14:paraId="13FD6324" w14:textId="77777777" w:rsidR="002410AA" w:rsidRDefault="002410AA" w:rsidP="00435DE4">
      <w:pPr>
        <w:pStyle w:val="Zkladntext"/>
        <w:ind w:left="0"/>
        <w:rPr>
          <w:b/>
          <w:sz w:val="22"/>
        </w:rPr>
      </w:pPr>
    </w:p>
    <w:p w14:paraId="7AD1273A" w14:textId="77777777" w:rsidR="002410AA" w:rsidRPr="004A283A" w:rsidRDefault="004B455F" w:rsidP="00435DE4">
      <w:pPr>
        <w:pStyle w:val="Nadpis2"/>
        <w:ind w:left="0"/>
        <w:rPr>
          <w:sz w:val="28"/>
          <w:szCs w:val="28"/>
        </w:rPr>
      </w:pPr>
      <w:r>
        <w:rPr>
          <w:b w:val="0"/>
          <w:spacing w:val="-60"/>
          <w:shd w:val="clear" w:color="auto" w:fill="D2D2D2"/>
        </w:rPr>
        <w:t xml:space="preserve"> </w:t>
      </w:r>
      <w:r w:rsidRPr="004A283A">
        <w:rPr>
          <w:sz w:val="28"/>
          <w:szCs w:val="28"/>
          <w:shd w:val="clear" w:color="auto" w:fill="D2D2D2"/>
        </w:rPr>
        <w:t>Rigorózne konanie v študijnom programe Estetika - získaný titul „doktor filozofie“ (PhDr.)</w:t>
      </w:r>
    </w:p>
    <w:p w14:paraId="00921F9F" w14:textId="77777777" w:rsidR="0039450A" w:rsidRDefault="0039450A" w:rsidP="00435DE4">
      <w:pPr>
        <w:pStyle w:val="Zkladntext"/>
        <w:ind w:left="0"/>
        <w:rPr>
          <w:sz w:val="27"/>
        </w:rPr>
      </w:pPr>
    </w:p>
    <w:p w14:paraId="00D3B616" w14:textId="729EFA6F" w:rsidR="002410AA" w:rsidRDefault="00551507" w:rsidP="00435DE4">
      <w:pPr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doc. </w:t>
      </w:r>
      <w:r w:rsidR="004B455F">
        <w:rPr>
          <w:b/>
          <w:i/>
          <w:sz w:val="24"/>
        </w:rPr>
        <w:t>Mgr. Adrián Kvokačka, PhD.</w:t>
      </w:r>
    </w:p>
    <w:p w14:paraId="54FD1A9F" w14:textId="4447E2B1" w:rsidR="002410AA" w:rsidRDefault="004B455F" w:rsidP="00435DE4">
      <w:pPr>
        <w:jc w:val="both"/>
        <w:rPr>
          <w:b/>
          <w:sz w:val="24"/>
        </w:rPr>
      </w:pPr>
      <w:r>
        <w:rPr>
          <w:b/>
          <w:sz w:val="24"/>
        </w:rPr>
        <w:t>Témy estetiky každodennosti a ich reflexia.</w:t>
      </w:r>
    </w:p>
    <w:p w14:paraId="0CF326AF" w14:textId="77777777" w:rsidR="002410AA" w:rsidRDefault="004B455F" w:rsidP="00435DE4">
      <w:pPr>
        <w:jc w:val="both"/>
        <w:rPr>
          <w:sz w:val="24"/>
        </w:rPr>
      </w:pPr>
      <w:r>
        <w:rPr>
          <w:sz w:val="24"/>
        </w:rPr>
        <w:t>Súčasný estetický diskurz vy zvýšenej miere sleduje estetiku mimo umenia. Popri klasickom skúmaní artefaktov s významnou estetickou funkciou sa do popredia dostáva spôsob estetického uchopovania každodenného života v podobe tematizácie “prehliadaných” činností či environmentov. Cieľom práce má byť predstavenie vybraného okruhu / problému a jeho reflexia v existujúcom estetickom</w:t>
      </w:r>
      <w:r>
        <w:rPr>
          <w:spacing w:val="-2"/>
          <w:sz w:val="24"/>
        </w:rPr>
        <w:t xml:space="preserve"> </w:t>
      </w:r>
      <w:r>
        <w:rPr>
          <w:sz w:val="24"/>
        </w:rPr>
        <w:t>diskurze.</w:t>
      </w:r>
    </w:p>
    <w:p w14:paraId="671FB56E" w14:textId="77777777" w:rsidR="002410AA" w:rsidRDefault="004B455F" w:rsidP="00435DE4">
      <w:pPr>
        <w:pStyle w:val="Nadpis5"/>
        <w:spacing w:before="0" w:line="240" w:lineRule="auto"/>
        <w:ind w:left="0"/>
      </w:pPr>
      <w:r>
        <w:t>Literatúra:</w:t>
      </w:r>
    </w:p>
    <w:p w14:paraId="46801D18" w14:textId="77777777" w:rsidR="002410AA" w:rsidRDefault="004B455F" w:rsidP="00435DE4">
      <w:pPr>
        <w:pStyle w:val="Zkladntext"/>
        <w:ind w:left="0"/>
        <w:jc w:val="both"/>
      </w:pPr>
      <w:r>
        <w:t>SAITO, Y. 2007. Everyday Aesthetics. Oxford: Oxford University Press.</w:t>
      </w:r>
    </w:p>
    <w:p w14:paraId="486D747D" w14:textId="77777777" w:rsidR="00BA426D" w:rsidRDefault="004B455F" w:rsidP="00435DE4">
      <w:pPr>
        <w:pStyle w:val="Zkladntext"/>
        <w:ind w:left="0"/>
        <w:jc w:val="both"/>
      </w:pPr>
      <w:r>
        <w:t>LIESSMANN, K.P. 2012. Universum věcí. K estetice každodennosti. Praha: Academia. ISBN 978-80-200-2060-4. NAUKKARINEN, O. 2013. What is 'Everyday' in Everyday Aesthetics? [online]</w:t>
      </w:r>
    </w:p>
    <w:p w14:paraId="3BE8FD48" w14:textId="078F81BF" w:rsidR="002410AA" w:rsidRDefault="00BA426D" w:rsidP="00435DE4">
      <w:pPr>
        <w:pStyle w:val="Zkladntext"/>
        <w:ind w:left="0"/>
        <w:jc w:val="both"/>
      </w:pPr>
      <w:r>
        <w:t>Dostupné z:</w:t>
      </w:r>
      <w:hyperlink r:id="rId8">
        <w:r w:rsidR="004B455F">
          <w:t xml:space="preserve"> http://www.contempaesthetics.org/newvolume/pages/article.php?articleID=675#FN1</w:t>
        </w:r>
      </w:hyperlink>
    </w:p>
    <w:p w14:paraId="74498BA5" w14:textId="77777777" w:rsidR="002410AA" w:rsidRDefault="004B455F" w:rsidP="00435DE4">
      <w:pPr>
        <w:pStyle w:val="Zkladntext"/>
        <w:ind w:left="0"/>
        <w:jc w:val="both"/>
      </w:pPr>
      <w:r>
        <w:t>Everyday Aesthetics and World-Making by Yuriko Saito, Rhode Island School of Design. online]. Dostupné z: https://</w:t>
      </w:r>
      <w:hyperlink r:id="rId9">
        <w:r>
          <w:t xml:space="preserve">www.youtube.com/watch?v=ktwTiUl_fEQ </w:t>
        </w:r>
      </w:hyperlink>
      <w:r>
        <w:t>(Yuriko Saito, 2015).</w:t>
      </w:r>
    </w:p>
    <w:p w14:paraId="447F26A3" w14:textId="53295634" w:rsidR="002410AA" w:rsidRPr="007A7E80" w:rsidRDefault="002410AA" w:rsidP="00435DE4">
      <w:pPr>
        <w:pStyle w:val="Zkladntext"/>
        <w:ind w:left="0"/>
        <w:jc w:val="both"/>
        <w:rPr>
          <w:sz w:val="24"/>
          <w:szCs w:val="24"/>
        </w:rPr>
      </w:pPr>
    </w:p>
    <w:p w14:paraId="64FCC21A" w14:textId="0659F39C" w:rsidR="007A7E80" w:rsidRPr="007A7E80" w:rsidRDefault="00551507" w:rsidP="00435DE4">
      <w:pPr>
        <w:pStyle w:val="Zkladntext"/>
        <w:ind w:left="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doc. </w:t>
      </w:r>
      <w:r w:rsidR="007A7E80" w:rsidRPr="007A7E80">
        <w:rPr>
          <w:b/>
          <w:i/>
          <w:sz w:val="24"/>
          <w:szCs w:val="24"/>
        </w:rPr>
        <w:t xml:space="preserve">Mgr. Lukáš Makky, PhD. </w:t>
      </w:r>
    </w:p>
    <w:p w14:paraId="4FAF3F81" w14:textId="7F64EFCB" w:rsidR="007A7E80" w:rsidRPr="007A7E80" w:rsidRDefault="007A7E80" w:rsidP="00435DE4">
      <w:pPr>
        <w:pStyle w:val="Zkladntext"/>
        <w:ind w:left="0"/>
        <w:jc w:val="both"/>
        <w:rPr>
          <w:b/>
          <w:sz w:val="24"/>
          <w:szCs w:val="24"/>
        </w:rPr>
      </w:pPr>
      <w:r w:rsidRPr="007A7E80">
        <w:rPr>
          <w:b/>
          <w:sz w:val="24"/>
          <w:szCs w:val="24"/>
        </w:rPr>
        <w:t>Inštitucionálna teória v slovenskom a českom teoretickom prostredí</w:t>
      </w:r>
    </w:p>
    <w:p w14:paraId="11240C76" w14:textId="4C88DC6D" w:rsidR="007A7E80" w:rsidRPr="007A7E80" w:rsidRDefault="007A7E80" w:rsidP="00435DE4">
      <w:pPr>
        <w:pStyle w:val="Zkladntext"/>
        <w:ind w:left="0"/>
        <w:jc w:val="both"/>
        <w:rPr>
          <w:sz w:val="24"/>
          <w:szCs w:val="24"/>
        </w:rPr>
      </w:pPr>
      <w:r w:rsidRPr="007A7E80">
        <w:rPr>
          <w:sz w:val="24"/>
          <w:szCs w:val="24"/>
        </w:rPr>
        <w:t>Cieľom práce je teoretické uchopenie inštitucionálnej teórie, ktorá komentuje kultúrnu prax a ašpiruje na vytvorenie fu</w:t>
      </w:r>
      <w:r>
        <w:rPr>
          <w:sz w:val="24"/>
          <w:szCs w:val="24"/>
        </w:rPr>
        <w:t>nkčnej definície umenia. Práca sa sústreďuje</w:t>
      </w:r>
      <w:r w:rsidRPr="007A7E80">
        <w:rPr>
          <w:sz w:val="24"/>
          <w:szCs w:val="24"/>
        </w:rPr>
        <w:t xml:space="preserve"> predovšetkým na skúmanie teoretického rámca v ktorom bol </w:t>
      </w:r>
      <w:r>
        <w:rPr>
          <w:sz w:val="24"/>
          <w:szCs w:val="24"/>
        </w:rPr>
        <w:t xml:space="preserve">teoretický </w:t>
      </w:r>
      <w:r w:rsidRPr="007A7E80">
        <w:rPr>
          <w:sz w:val="24"/>
          <w:szCs w:val="24"/>
        </w:rPr>
        <w:t xml:space="preserve">prístup predstavený (a akceptovaný, či odmietnutý) v slovenskom a českom prostredí. </w:t>
      </w:r>
    </w:p>
    <w:p w14:paraId="2EFEC11E" w14:textId="77777777" w:rsidR="007A7E80" w:rsidRPr="007A7E80" w:rsidRDefault="007A7E80" w:rsidP="00435DE4">
      <w:pPr>
        <w:pStyle w:val="Zkladntext"/>
        <w:ind w:left="0"/>
        <w:jc w:val="both"/>
        <w:rPr>
          <w:b/>
        </w:rPr>
      </w:pPr>
      <w:r w:rsidRPr="007A7E80">
        <w:rPr>
          <w:b/>
        </w:rPr>
        <w:t xml:space="preserve">Literatúra: </w:t>
      </w:r>
    </w:p>
    <w:p w14:paraId="7E4362DA" w14:textId="77777777" w:rsidR="007A7E80" w:rsidRPr="007A7E80" w:rsidRDefault="007A7E80" w:rsidP="00435DE4">
      <w:pPr>
        <w:pStyle w:val="Zkladntext"/>
        <w:ind w:left="0"/>
        <w:jc w:val="both"/>
      </w:pPr>
      <w:r w:rsidRPr="007A7E80">
        <w:t>CIPORANOV, D. (2008): Umění jako instituce. Komentář k teorii George Dickieho. In: Aluze: revue pro literaturu, filozofii a jiné, 2, s. 40–45 [Cit. 2019-16-03]. Dostpné z: http://www.aluze.cz/2008_02/08_studie_dickie_komentar.php</w:t>
      </w:r>
    </w:p>
    <w:p w14:paraId="7A3445EB" w14:textId="77777777" w:rsidR="007A7E80" w:rsidRPr="007A7E80" w:rsidRDefault="007A7E80" w:rsidP="00435DE4">
      <w:pPr>
        <w:pStyle w:val="Zkladntext"/>
        <w:ind w:left="0"/>
        <w:jc w:val="both"/>
      </w:pPr>
      <w:r w:rsidRPr="007A7E80">
        <w:t xml:space="preserve">DANTO, A. (2010): Svět umění. In: T. Kulka – D. Ciporanov (zost.): Co je umění? Texty angloamerické estetiky 20. století. Praha: Pavel Mervart, s. 95–111. </w:t>
      </w:r>
    </w:p>
    <w:p w14:paraId="73DCDF21" w14:textId="426B4AF9" w:rsidR="007A7E80" w:rsidRPr="007A7E80" w:rsidRDefault="007A7E80" w:rsidP="00435DE4">
      <w:pPr>
        <w:pStyle w:val="Zkladntext"/>
        <w:ind w:left="0"/>
        <w:jc w:val="both"/>
      </w:pPr>
      <w:r w:rsidRPr="007A7E80">
        <w:t>DAVIES. S. (2010): Non – Western Art and Art´s Definition. In: N. Carroll (ed.): Theories of Art Today. Madison: University of Wiscounsin Press, s. 199 –216.</w:t>
      </w:r>
    </w:p>
    <w:p w14:paraId="422CA6C0" w14:textId="1E1ED0D8" w:rsidR="00BA426D" w:rsidRDefault="00BA426D" w:rsidP="00435DE4">
      <w:pPr>
        <w:pStyle w:val="Zkladntext"/>
        <w:ind w:left="0"/>
        <w:jc w:val="both"/>
        <w:rPr>
          <w:sz w:val="31"/>
        </w:rPr>
      </w:pPr>
    </w:p>
    <w:p w14:paraId="41F425C8" w14:textId="77777777" w:rsidR="000F6063" w:rsidRPr="000F6063" w:rsidRDefault="000F6063" w:rsidP="000F6063">
      <w:pPr>
        <w:pStyle w:val="Nadpis3"/>
        <w:ind w:left="0"/>
      </w:pPr>
      <w:r w:rsidRPr="000F6063">
        <w:t>doc. PhDr. Zuzana Slušná, PhD.</w:t>
      </w:r>
    </w:p>
    <w:p w14:paraId="4E5A510F" w14:textId="62D0271E" w:rsidR="000F6063" w:rsidRPr="000F6063" w:rsidRDefault="000F6063" w:rsidP="000F6063">
      <w:pPr>
        <w:pStyle w:val="Nadpis3"/>
        <w:ind w:left="0"/>
        <w:rPr>
          <w:i w:val="0"/>
        </w:rPr>
      </w:pPr>
      <w:r w:rsidRPr="000F6063">
        <w:rPr>
          <w:i w:val="0"/>
        </w:rPr>
        <w:t>Udržateľnosť ako téma kultúrnych a umeleckých prejavov: udržateľná móda</w:t>
      </w:r>
    </w:p>
    <w:p w14:paraId="79E47966" w14:textId="14D76367" w:rsidR="000F6063" w:rsidRPr="000F6063" w:rsidRDefault="000F6063" w:rsidP="000F6063">
      <w:pPr>
        <w:pStyle w:val="Nadpis3"/>
        <w:ind w:left="0"/>
        <w:rPr>
          <w:b w:val="0"/>
          <w:i w:val="0"/>
        </w:rPr>
      </w:pPr>
      <w:r w:rsidRPr="000F6063">
        <w:rPr>
          <w:b w:val="0"/>
          <w:i w:val="0"/>
        </w:rPr>
        <w:t>Cieľom práce je analýza a interpretácia kultúrnych a sociálnych prejavov „udržateľnosti“ v oblasti módy (móda ako konzumovaná komodita, výroba módy, vizuálne reprezentácie zdôrazňujúce udržateľnosť), ako procesu zmeny v spoločnosti, kultúre a umení, zdôrazňujúcej dopady ľudského konania a činností na životné prostredie. Téma umožňuje reflexiu a analýzu aktivít a stratégií zacielených na edukáciu a osvetovú činnosť s cieľom získať pre uvedený trend nové cieľové skupiny spotrebiteľov.</w:t>
      </w:r>
    </w:p>
    <w:p w14:paraId="4D122CCC" w14:textId="188DD955" w:rsidR="000F6063" w:rsidRPr="000F6063" w:rsidRDefault="000F6063" w:rsidP="000F6063">
      <w:pPr>
        <w:pStyle w:val="Nadpis5"/>
        <w:spacing w:before="11" w:line="225" w:lineRule="exact"/>
        <w:ind w:left="0"/>
      </w:pPr>
      <w:r w:rsidRPr="000F6063">
        <w:t>Literatúra:</w:t>
      </w:r>
    </w:p>
    <w:p w14:paraId="4D4D79EE" w14:textId="77777777" w:rsidR="000F6063" w:rsidRPr="000F6063" w:rsidRDefault="000F6063" w:rsidP="000F6063">
      <w:pPr>
        <w:pStyle w:val="Default"/>
        <w:contextualSpacing/>
        <w:rPr>
          <w:rFonts w:ascii="Times New Roman" w:hAnsi="Times New Roman" w:cs="Times New Roman"/>
          <w:color w:val="auto"/>
          <w:sz w:val="20"/>
          <w:szCs w:val="20"/>
        </w:rPr>
      </w:pPr>
      <w:r w:rsidRPr="000F6063">
        <w:rPr>
          <w:rFonts w:ascii="Times New Roman" w:hAnsi="Times New Roman" w:cs="Times New Roman"/>
          <w:color w:val="auto"/>
          <w:sz w:val="20"/>
          <w:szCs w:val="20"/>
        </w:rPr>
        <w:t xml:space="preserve">ARMITAGE, John, 2019. Luxury and Visual Culture. Bloomsbury Publishing. ISBN 9781474239554. </w:t>
      </w:r>
    </w:p>
    <w:p w14:paraId="304B87EA" w14:textId="77777777" w:rsidR="000F6063" w:rsidRPr="000F6063" w:rsidRDefault="000F6063" w:rsidP="000F6063">
      <w:pPr>
        <w:pStyle w:val="Default"/>
        <w:contextualSpacing/>
        <w:rPr>
          <w:rFonts w:ascii="Times New Roman" w:hAnsi="Times New Roman" w:cs="Times New Roman"/>
          <w:color w:val="auto"/>
          <w:sz w:val="20"/>
          <w:szCs w:val="20"/>
        </w:rPr>
      </w:pPr>
      <w:r w:rsidRPr="000F6063">
        <w:rPr>
          <w:rFonts w:ascii="Times New Roman" w:hAnsi="Times New Roman" w:cs="Times New Roman"/>
          <w:color w:val="auto"/>
          <w:sz w:val="20"/>
          <w:szCs w:val="20"/>
        </w:rPr>
        <w:t xml:space="preserve">CALEFATO, Patrizia, 2021. Fashion as Cultural Translation: Signs, Images, Narratives. Anthem Press. ISBN 978-1785272431 </w:t>
      </w:r>
    </w:p>
    <w:p w14:paraId="5CA9D76D" w14:textId="77777777" w:rsidR="000F6063" w:rsidRPr="000F6063" w:rsidRDefault="000F6063" w:rsidP="000F6063">
      <w:pPr>
        <w:pStyle w:val="Default"/>
        <w:spacing w:after="90"/>
        <w:contextualSpacing/>
        <w:rPr>
          <w:rFonts w:ascii="Times New Roman" w:hAnsi="Times New Roman" w:cs="Times New Roman"/>
          <w:color w:val="auto"/>
          <w:sz w:val="20"/>
          <w:szCs w:val="20"/>
        </w:rPr>
      </w:pPr>
      <w:r w:rsidRPr="000F6063">
        <w:rPr>
          <w:rFonts w:ascii="Times New Roman" w:hAnsi="Times New Roman" w:cs="Times New Roman"/>
          <w:color w:val="auto"/>
          <w:sz w:val="20"/>
          <w:szCs w:val="20"/>
        </w:rPr>
        <w:t xml:space="preserve">DEMSHINA, Anna, 2009. Móda v kontextu vizuální kultury: 2. polovina 20. - počátek 21. století. Petrohrad: Asterion. ISBN 978-2070293476. </w:t>
      </w:r>
    </w:p>
    <w:p w14:paraId="7ABA4C02" w14:textId="77777777" w:rsidR="000F6063" w:rsidRPr="000F6063" w:rsidRDefault="000F6063" w:rsidP="000F6063">
      <w:pPr>
        <w:pStyle w:val="Default"/>
        <w:spacing w:after="90"/>
        <w:contextualSpacing/>
        <w:rPr>
          <w:rFonts w:ascii="Times New Roman" w:hAnsi="Times New Roman" w:cs="Times New Roman"/>
          <w:color w:val="auto"/>
          <w:sz w:val="20"/>
          <w:szCs w:val="20"/>
        </w:rPr>
      </w:pPr>
      <w:r w:rsidRPr="000F6063">
        <w:rPr>
          <w:rFonts w:ascii="Times New Roman" w:hAnsi="Times New Roman" w:cs="Times New Roman"/>
          <w:color w:val="auto"/>
          <w:sz w:val="20"/>
          <w:szCs w:val="20"/>
        </w:rPr>
        <w:t xml:space="preserve">GOFMAN, Alexandr, 2004. Móda a lidi: nová teorie módního chování. 3. dopl.vyd. Petrohrad: Piter. ISBN 5-469-00129-6. </w:t>
      </w:r>
    </w:p>
    <w:p w14:paraId="00645E98" w14:textId="77777777" w:rsidR="000F6063" w:rsidRPr="000F6063" w:rsidRDefault="000F6063" w:rsidP="000F6063">
      <w:pPr>
        <w:pStyle w:val="Default"/>
        <w:contextualSpacing/>
        <w:rPr>
          <w:rFonts w:ascii="Times New Roman" w:hAnsi="Times New Roman" w:cs="Times New Roman"/>
          <w:color w:val="auto"/>
          <w:sz w:val="20"/>
          <w:szCs w:val="20"/>
        </w:rPr>
      </w:pPr>
      <w:r w:rsidRPr="000F6063">
        <w:rPr>
          <w:rFonts w:ascii="Times New Roman" w:hAnsi="Times New Roman" w:cs="Times New Roman"/>
          <w:color w:val="auto"/>
          <w:sz w:val="20"/>
          <w:szCs w:val="20"/>
        </w:rPr>
        <w:lastRenderedPageBreak/>
        <w:t xml:space="preserve">BATISTA, Candice, 2022. What Is Sustainable and Ethical Fashion?. The Eco Hub [online]. 25-07-2022 [cit. 2022-08-28]. Dostupné z: https://theeco-hub.com/sustainable-and-ethical-fashion/ </w:t>
      </w:r>
    </w:p>
    <w:p w14:paraId="1F3EA95D" w14:textId="35AFB5E5" w:rsidR="000F6063" w:rsidRDefault="000F6063" w:rsidP="00435DE4">
      <w:pPr>
        <w:pStyle w:val="Zkladntext"/>
        <w:ind w:left="0"/>
        <w:jc w:val="both"/>
        <w:rPr>
          <w:sz w:val="31"/>
        </w:rPr>
      </w:pPr>
    </w:p>
    <w:p w14:paraId="5CFA120E" w14:textId="068EBE52" w:rsidR="002410AA" w:rsidRDefault="00551507" w:rsidP="00435DE4">
      <w:pPr>
        <w:pStyle w:val="Nadpis3"/>
        <w:ind w:left="0"/>
      </w:pPr>
      <w:r>
        <w:t xml:space="preserve">doc. </w:t>
      </w:r>
      <w:r w:rsidR="004B455F">
        <w:t>Mgr. Eva Kušnírová, PhD.</w:t>
      </w:r>
    </w:p>
    <w:p w14:paraId="009390EF" w14:textId="67C098D2" w:rsidR="002410AA" w:rsidRDefault="004B455F" w:rsidP="00435DE4">
      <w:pPr>
        <w:jc w:val="both"/>
        <w:rPr>
          <w:b/>
          <w:sz w:val="24"/>
        </w:rPr>
      </w:pPr>
      <w:r>
        <w:rPr>
          <w:b/>
          <w:sz w:val="24"/>
        </w:rPr>
        <w:t>Umelecké profily reprezentatívnych slovenských vysokoškolských divadiel alternatívneho typu. (napr. VYDI Nitra, ŠD FF PU Prešov, Ja a My Nitra, ANIMA Ružomberok, IVERY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Bratislava).</w:t>
      </w:r>
    </w:p>
    <w:p w14:paraId="382BDF3E" w14:textId="77777777" w:rsidR="002410AA" w:rsidRDefault="004B455F" w:rsidP="00435DE4">
      <w:pPr>
        <w:pStyle w:val="Nadpis4"/>
        <w:ind w:left="0" w:right="0"/>
      </w:pPr>
      <w:r>
        <w:t>Dlhoročná tradícia Akademického Prešova dokumentuje v ostatných rokoch oživený záujem vysokoškolákov o alternatívne divadlo, svedčí o tom pravidelná účasť viacerých súborov na spomínanom podujatí, ich špecifickú poetiku je potrebné analyzovať.</w:t>
      </w:r>
    </w:p>
    <w:p w14:paraId="06200CC5" w14:textId="77777777" w:rsidR="002410AA" w:rsidRDefault="004B455F" w:rsidP="00435DE4">
      <w:pPr>
        <w:pStyle w:val="Nadpis5"/>
        <w:spacing w:before="0" w:line="240" w:lineRule="auto"/>
        <w:ind w:left="0"/>
        <w:jc w:val="both"/>
      </w:pPr>
      <w:r>
        <w:t>Literatúra:</w:t>
      </w:r>
    </w:p>
    <w:p w14:paraId="169685D6" w14:textId="77777777" w:rsidR="002410AA" w:rsidRDefault="004B455F" w:rsidP="00435DE4">
      <w:pPr>
        <w:pStyle w:val="Zkladntext"/>
        <w:ind w:left="0"/>
        <w:jc w:val="both"/>
      </w:pPr>
      <w:r>
        <w:t>BALLAY, M.: Slobodné študentské divadlo. Nitra: UKF, 2012.</w:t>
      </w:r>
    </w:p>
    <w:p w14:paraId="279912EC" w14:textId="77777777" w:rsidR="002410AA" w:rsidRDefault="004B455F" w:rsidP="00435DE4">
      <w:pPr>
        <w:pStyle w:val="Zkladntext"/>
        <w:ind w:left="0"/>
        <w:jc w:val="both"/>
      </w:pPr>
      <w:r>
        <w:t>GBÚR, J. – HORÁK, K.: Kontexty alternatívneho divadla I. Prešov: FF PU, 2003. GBÚR, J. – HORÁK, K. – PUKAN, M.: Kontexty alternatívneho divadla II. Prešov: FF PU, 2006/2007.</w:t>
      </w:r>
    </w:p>
    <w:p w14:paraId="3677B9B5" w14:textId="36014263" w:rsidR="002410AA" w:rsidRDefault="004B455F" w:rsidP="00435DE4">
      <w:pPr>
        <w:pStyle w:val="Zkladntext"/>
        <w:ind w:left="0"/>
        <w:jc w:val="both"/>
      </w:pPr>
      <w:r>
        <w:t xml:space="preserve">HORÁK, K. </w:t>
      </w:r>
      <w:r w:rsidR="00570944">
        <w:t xml:space="preserve">et al. (eds) </w:t>
      </w:r>
      <w:r>
        <w:t>Kontexty alternatívneho divadla III. Prešov: FF PU,</w:t>
      </w:r>
      <w:r>
        <w:rPr>
          <w:spacing w:val="-2"/>
        </w:rPr>
        <w:t xml:space="preserve"> </w:t>
      </w:r>
      <w:r>
        <w:t>2007/2008.</w:t>
      </w:r>
    </w:p>
    <w:p w14:paraId="1490A1C6" w14:textId="6C26D245" w:rsidR="002410AA" w:rsidRDefault="004B455F" w:rsidP="00435DE4">
      <w:pPr>
        <w:pStyle w:val="Zkladntext"/>
        <w:ind w:left="0"/>
        <w:jc w:val="both"/>
      </w:pPr>
      <w:r>
        <w:t>HORÁK, K.</w:t>
      </w:r>
      <w:r w:rsidR="00570944">
        <w:t>et al. (eds.)</w:t>
      </w:r>
      <w:r>
        <w:t>.: Kontexty alternatívneho divadla IV. Prešov: FF PU, 2011.</w:t>
      </w:r>
    </w:p>
    <w:p w14:paraId="285D80AD" w14:textId="261E3DFF" w:rsidR="001522D1" w:rsidRDefault="001522D1" w:rsidP="00435DE4">
      <w:pPr>
        <w:pStyle w:val="Zkladntext"/>
        <w:ind w:left="0"/>
        <w:jc w:val="both"/>
      </w:pPr>
    </w:p>
    <w:p w14:paraId="533201BE" w14:textId="6723A4F3" w:rsidR="001522D1" w:rsidRPr="001522D1" w:rsidRDefault="001522D1" w:rsidP="001522D1">
      <w:pPr>
        <w:pStyle w:val="Zkladntext"/>
        <w:spacing w:line="229" w:lineRule="exact"/>
        <w:ind w:left="0"/>
        <w:jc w:val="both"/>
        <w:rPr>
          <w:b/>
          <w:sz w:val="24"/>
          <w:szCs w:val="24"/>
        </w:rPr>
      </w:pPr>
      <w:r w:rsidRPr="001522D1">
        <w:rPr>
          <w:b/>
          <w:sz w:val="24"/>
          <w:szCs w:val="24"/>
        </w:rPr>
        <w:t>Trendy dramaturgie Činohry SND v Bratislave v</w:t>
      </w:r>
      <w:r>
        <w:rPr>
          <w:b/>
          <w:sz w:val="24"/>
          <w:szCs w:val="24"/>
        </w:rPr>
        <w:t> </w:t>
      </w:r>
      <w:r w:rsidRPr="001522D1">
        <w:rPr>
          <w:b/>
          <w:sz w:val="24"/>
          <w:szCs w:val="24"/>
        </w:rPr>
        <w:t>post</w:t>
      </w:r>
      <w:r>
        <w:rPr>
          <w:b/>
          <w:sz w:val="24"/>
          <w:szCs w:val="24"/>
        </w:rPr>
        <w:t>-</w:t>
      </w:r>
      <w:r w:rsidRPr="001522D1">
        <w:rPr>
          <w:b/>
          <w:sz w:val="24"/>
          <w:szCs w:val="24"/>
        </w:rPr>
        <w:t>covidovej dobe v sezóne 2022/2023: analýza umelecko-estetických tendencií</w:t>
      </w:r>
    </w:p>
    <w:p w14:paraId="1A9E1D75" w14:textId="2FD1DA8C" w:rsidR="001522D1" w:rsidRPr="001522D1" w:rsidRDefault="001522D1" w:rsidP="001522D1">
      <w:pPr>
        <w:pStyle w:val="Zkladntext"/>
        <w:spacing w:line="229" w:lineRule="exact"/>
        <w:ind w:left="0"/>
        <w:jc w:val="both"/>
        <w:rPr>
          <w:sz w:val="24"/>
          <w:szCs w:val="24"/>
        </w:rPr>
      </w:pPr>
      <w:r w:rsidRPr="001522D1">
        <w:rPr>
          <w:sz w:val="24"/>
          <w:szCs w:val="24"/>
        </w:rPr>
        <w:t xml:space="preserve">Cieľom práce je sústrediť pozornosť na divadelnú sezónu 2022/2023 Činohry SND v Bratislave, ktorá je prvou polnohodnotnou sezónou po pandemickej kríze. Činohra SND sa v tejto sezóne rozhodla pátrať v témach, ktoré tvoria jej vertikálnu dramaturgiu, ako amnézia pamäti, biele miesta dejín, cyklus Západ, depresia Európy, kultúrne vojny, starnutie, kto je naša komunita, o aký svet a hodnoty má zmysel zabojovať. Rigorozantka sa bude primárne venovať analýze inscenácií danej divadelnej sezóny z pohľadu umelecko-estetických tendencií ako aj samotnému divákovi. </w:t>
      </w:r>
    </w:p>
    <w:p w14:paraId="3EDCBEB0" w14:textId="77777777" w:rsidR="001522D1" w:rsidRPr="001522D1" w:rsidRDefault="001522D1" w:rsidP="001522D1">
      <w:pPr>
        <w:pStyle w:val="Zkladntext"/>
        <w:spacing w:line="229" w:lineRule="exact"/>
        <w:ind w:left="0"/>
        <w:jc w:val="both"/>
        <w:rPr>
          <w:b/>
        </w:rPr>
      </w:pPr>
      <w:r w:rsidRPr="001522D1">
        <w:rPr>
          <w:b/>
        </w:rPr>
        <w:t xml:space="preserve">Literatúra: </w:t>
      </w:r>
    </w:p>
    <w:p w14:paraId="358C2DB8" w14:textId="77777777" w:rsidR="001522D1" w:rsidRPr="001522D1" w:rsidRDefault="001522D1" w:rsidP="001522D1">
      <w:pPr>
        <w:pStyle w:val="Zkladntext"/>
        <w:ind w:left="0"/>
        <w:jc w:val="both"/>
      </w:pPr>
      <w:r w:rsidRPr="001522D1">
        <w:t xml:space="preserve">Dramaturgia Činohry SND (osobný rozhovor s dramaturgičkou činohry M. Kičiňovou) </w:t>
      </w:r>
    </w:p>
    <w:p w14:paraId="5DC2C621" w14:textId="77777777" w:rsidR="001522D1" w:rsidRPr="001522D1" w:rsidRDefault="001522D1" w:rsidP="001522D1">
      <w:pPr>
        <w:pStyle w:val="Zkladntext"/>
        <w:ind w:left="0"/>
        <w:jc w:val="both"/>
      </w:pPr>
      <w:r w:rsidRPr="001522D1">
        <w:t>LANDRY, CH. – MATARASSO, F. 2015. Hledání rovnováhy. 21 strategických dilemat v kulturní</w:t>
      </w:r>
    </w:p>
    <w:p w14:paraId="1437DB79" w14:textId="77777777" w:rsidR="001522D1" w:rsidRPr="001522D1" w:rsidRDefault="001522D1" w:rsidP="001522D1">
      <w:pPr>
        <w:pStyle w:val="Zkladntext"/>
        <w:ind w:left="0"/>
        <w:jc w:val="both"/>
      </w:pPr>
      <w:r w:rsidRPr="001522D1">
        <w:t xml:space="preserve">politice. Praha : Barrister a Principal,  </w:t>
      </w:r>
    </w:p>
    <w:p w14:paraId="3DEB719F" w14:textId="77777777" w:rsidR="001522D1" w:rsidRPr="001522D1" w:rsidRDefault="001522D1" w:rsidP="001522D1">
      <w:pPr>
        <w:pStyle w:val="Biblio-odkaz"/>
        <w:spacing w:line="240" w:lineRule="auto"/>
        <w:rPr>
          <w:sz w:val="20"/>
          <w:szCs w:val="20"/>
        </w:rPr>
      </w:pPr>
      <w:r w:rsidRPr="001522D1">
        <w:rPr>
          <w:sz w:val="20"/>
          <w:szCs w:val="20"/>
        </w:rPr>
        <w:t xml:space="preserve">KLAIĆ, D. 2014. </w:t>
      </w:r>
      <w:r w:rsidRPr="001522D1">
        <w:rPr>
          <w:i/>
          <w:sz w:val="20"/>
          <w:szCs w:val="20"/>
        </w:rPr>
        <w:t>Ako reštartovať divadlo. Verejné divadlo medzi trhom a demokraciou.</w:t>
      </w:r>
      <w:r w:rsidRPr="001522D1">
        <w:rPr>
          <w:sz w:val="20"/>
          <w:szCs w:val="20"/>
        </w:rPr>
        <w:t xml:space="preserve"> Bratislava: </w:t>
      </w:r>
    </w:p>
    <w:p w14:paraId="0C72B13D" w14:textId="77777777" w:rsidR="001522D1" w:rsidRPr="001522D1" w:rsidRDefault="001522D1" w:rsidP="001522D1">
      <w:pPr>
        <w:pStyle w:val="Biblio-odkaz"/>
        <w:tabs>
          <w:tab w:val="left" w:pos="3210"/>
        </w:tabs>
        <w:spacing w:line="240" w:lineRule="auto"/>
        <w:rPr>
          <w:sz w:val="20"/>
          <w:szCs w:val="20"/>
        </w:rPr>
      </w:pPr>
      <w:r w:rsidRPr="001522D1">
        <w:rPr>
          <w:sz w:val="20"/>
          <w:szCs w:val="20"/>
        </w:rPr>
        <w:t>Divadelný ústav.</w:t>
      </w:r>
      <w:r w:rsidRPr="001522D1">
        <w:rPr>
          <w:sz w:val="20"/>
          <w:szCs w:val="20"/>
        </w:rPr>
        <w:tab/>
      </w:r>
    </w:p>
    <w:p w14:paraId="270627C9" w14:textId="77777777" w:rsidR="001522D1" w:rsidRPr="001522D1" w:rsidRDefault="001522D1" w:rsidP="001522D1">
      <w:pPr>
        <w:pStyle w:val="Biblio-odkaz"/>
        <w:spacing w:line="240" w:lineRule="auto"/>
        <w:rPr>
          <w:i/>
          <w:sz w:val="20"/>
          <w:szCs w:val="20"/>
        </w:rPr>
      </w:pPr>
      <w:r w:rsidRPr="001522D1">
        <w:rPr>
          <w:sz w:val="20"/>
          <w:szCs w:val="20"/>
        </w:rPr>
        <w:t>DEML, J., L. HANUS a M. LIŠKOVÁ 2013.</w:t>
      </w:r>
      <w:r w:rsidRPr="001522D1">
        <w:rPr>
          <w:i/>
          <w:sz w:val="20"/>
          <w:szCs w:val="20"/>
        </w:rPr>
        <w:t xml:space="preserve"> Re:Publikum Možnosti spolupáce s publikem ve 21.</w:t>
      </w:r>
    </w:p>
    <w:p w14:paraId="32310D75" w14:textId="77777777" w:rsidR="001522D1" w:rsidRPr="008F320C" w:rsidRDefault="001522D1" w:rsidP="001522D1">
      <w:pPr>
        <w:pStyle w:val="Biblio-odkaz"/>
        <w:spacing w:line="240" w:lineRule="auto"/>
        <w:rPr>
          <w:sz w:val="20"/>
          <w:szCs w:val="20"/>
        </w:rPr>
      </w:pPr>
      <w:r w:rsidRPr="001522D1">
        <w:rPr>
          <w:i/>
          <w:sz w:val="20"/>
          <w:szCs w:val="20"/>
        </w:rPr>
        <w:t xml:space="preserve">století. </w:t>
      </w:r>
      <w:r w:rsidRPr="001522D1">
        <w:rPr>
          <w:sz w:val="20"/>
          <w:szCs w:val="20"/>
        </w:rPr>
        <w:t>Praha: Institut umění – Divadelní ústav / Česká kancelář programu Kultura.</w:t>
      </w:r>
      <w:r w:rsidRPr="008F320C">
        <w:rPr>
          <w:sz w:val="20"/>
          <w:szCs w:val="20"/>
        </w:rPr>
        <w:t xml:space="preserve">  </w:t>
      </w:r>
    </w:p>
    <w:p w14:paraId="0CCD7308" w14:textId="6B22AE0A" w:rsidR="00253CC6" w:rsidRDefault="00253CC6" w:rsidP="00435DE4">
      <w:pPr>
        <w:pStyle w:val="Zkladntext"/>
        <w:ind w:left="0"/>
        <w:jc w:val="both"/>
      </w:pPr>
    </w:p>
    <w:p w14:paraId="2C7BA773" w14:textId="77777777" w:rsidR="001522D1" w:rsidRDefault="001522D1" w:rsidP="00435DE4">
      <w:pPr>
        <w:pStyle w:val="Zkladntext"/>
        <w:ind w:left="0"/>
        <w:jc w:val="both"/>
      </w:pPr>
    </w:p>
    <w:p w14:paraId="40C5D924" w14:textId="6BDFAB10" w:rsidR="00253CC6" w:rsidRDefault="00551507" w:rsidP="00435DE4">
      <w:pPr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doc. </w:t>
      </w:r>
      <w:r w:rsidR="00253CC6">
        <w:rPr>
          <w:b/>
          <w:i/>
          <w:sz w:val="24"/>
        </w:rPr>
        <w:t>Mgr. Jana Migašová, PhD.</w:t>
      </w:r>
    </w:p>
    <w:p w14:paraId="012823F5" w14:textId="77777777" w:rsidR="00253CC6" w:rsidRDefault="00253CC6" w:rsidP="00435DE4">
      <w:pPr>
        <w:jc w:val="both"/>
        <w:rPr>
          <w:b/>
          <w:sz w:val="24"/>
        </w:rPr>
      </w:pPr>
      <w:r>
        <w:rPr>
          <w:b/>
          <w:sz w:val="24"/>
        </w:rPr>
        <w:t>„Koniec dejín umenia“ v koncepcii Hansa Beltinga a jeho ohlas v umelecko-historickom, umelecko-teoretickom a výtvarno-estetickom diskurze</w:t>
      </w:r>
    </w:p>
    <w:p w14:paraId="7BF8145D" w14:textId="77777777" w:rsidR="00253CC6" w:rsidRDefault="00253CC6" w:rsidP="00435DE4">
      <w:pPr>
        <w:pStyle w:val="Nadpis4"/>
        <w:ind w:left="0" w:right="0"/>
      </w:pPr>
      <w:r>
        <w:t>Cieľom práce je pochopenie vplyvnej koncepcie „konca dejín umenia“ Hansa Beltinga (1987), ktorá podnietila v umelecko-historickom a umelecko-teoretickom diskurze diskusie o tom, ako by sa malo zmeniť „rozprávanie o umení“. Beltingov paradigmatický text našiel svojich nasledovateľov i odporcov. Rigorozant bude analyzovať a interpretovať Beltongov text, ako aj reflektovať rôzne kritické prístupy k nemu. Nevyhnutnosťou pre napísanie práce je znalosť anglického</w:t>
      </w:r>
      <w:r>
        <w:rPr>
          <w:spacing w:val="-1"/>
        </w:rPr>
        <w:t xml:space="preserve"> </w:t>
      </w:r>
      <w:r>
        <w:t>jazyka.</w:t>
      </w:r>
    </w:p>
    <w:p w14:paraId="773233FC" w14:textId="77777777" w:rsidR="00253CC6" w:rsidRDefault="00253CC6" w:rsidP="00435DE4">
      <w:pPr>
        <w:pStyle w:val="Nadpis5"/>
        <w:spacing w:before="0" w:line="240" w:lineRule="auto"/>
        <w:ind w:left="0"/>
        <w:jc w:val="both"/>
      </w:pPr>
      <w:r>
        <w:t>Literatúra</w:t>
      </w:r>
    </w:p>
    <w:p w14:paraId="5C014E32" w14:textId="77777777" w:rsidR="00253CC6" w:rsidRDefault="00253CC6" w:rsidP="00435DE4">
      <w:pPr>
        <w:pStyle w:val="Zkladntext"/>
        <w:ind w:left="0"/>
        <w:jc w:val="both"/>
      </w:pPr>
      <w:r>
        <w:t xml:space="preserve">BELTING, H. 2000. </w:t>
      </w:r>
      <w:r>
        <w:rPr>
          <w:i/>
        </w:rPr>
        <w:t>Konec dějin umění</w:t>
      </w:r>
      <w:r>
        <w:t>. Praha: Mladá fronta. ISBN 80-204-0856-8. BAXANDALL, M. 1985. Patterns of Intention. On the Historical Explanation of Pictures, New Haven, CT: Yale University</w:t>
      </w:r>
      <w:r>
        <w:rPr>
          <w:spacing w:val="-11"/>
        </w:rPr>
        <w:t xml:space="preserve"> </w:t>
      </w:r>
      <w:r>
        <w:t>Press.</w:t>
      </w:r>
    </w:p>
    <w:p w14:paraId="3921B38C" w14:textId="77777777" w:rsidR="00253CC6" w:rsidRDefault="00253CC6" w:rsidP="00435DE4">
      <w:pPr>
        <w:pStyle w:val="Zkladntext"/>
        <w:ind w:left="0"/>
        <w:jc w:val="both"/>
      </w:pPr>
      <w:r>
        <w:t>CARRIER, D. 1988. The End of the History of Art? by Hans Belting. In JSTOR [online], [cit. 2017-10-03]. Dostupné z https://</w:t>
      </w:r>
      <w:hyperlink r:id="rId10">
        <w:r>
          <w:t>www.jstor.org/stable/2505142?seq=1#page_scan_tab_contents</w:t>
        </w:r>
      </w:hyperlink>
    </w:p>
    <w:p w14:paraId="0609CB38" w14:textId="4AFA6065" w:rsidR="00253CC6" w:rsidRDefault="00253CC6" w:rsidP="00435DE4">
      <w:pPr>
        <w:pStyle w:val="Zkladntext"/>
        <w:ind w:left="0"/>
        <w:jc w:val="both"/>
      </w:pPr>
      <w:r>
        <w:t>GRÚŇ, D. 2002. Hans Belting: Konec dějin umění. In Kritika a kontext, roč. 7, č. 1, s. 86-87, ISSN:1335-1710.</w:t>
      </w:r>
    </w:p>
    <w:p w14:paraId="0250ECDE" w14:textId="739047D2" w:rsidR="00237743" w:rsidRDefault="00237743" w:rsidP="00435DE4">
      <w:pPr>
        <w:pStyle w:val="Zkladntext"/>
        <w:ind w:left="0"/>
        <w:jc w:val="both"/>
      </w:pPr>
    </w:p>
    <w:p w14:paraId="418B70C2" w14:textId="77777777" w:rsidR="00DD215A" w:rsidRPr="000F02E2" w:rsidRDefault="00DD215A" w:rsidP="00DD215A">
      <w:pPr>
        <w:pStyle w:val="Zkladntext"/>
        <w:spacing w:line="229" w:lineRule="exact"/>
        <w:ind w:left="0"/>
        <w:jc w:val="both"/>
        <w:rPr>
          <w:b/>
          <w:i/>
          <w:sz w:val="24"/>
          <w:szCs w:val="22"/>
        </w:rPr>
      </w:pPr>
      <w:r w:rsidRPr="000F02E2">
        <w:rPr>
          <w:b/>
          <w:i/>
          <w:sz w:val="24"/>
          <w:szCs w:val="22"/>
        </w:rPr>
        <w:t>Mgr. Tomáš Timko, PhD.</w:t>
      </w:r>
    </w:p>
    <w:p w14:paraId="1D718C35" w14:textId="77777777" w:rsidR="00DD215A" w:rsidRPr="000F02E2" w:rsidRDefault="00DD215A" w:rsidP="00DD215A">
      <w:pPr>
        <w:pStyle w:val="Zkladntext"/>
        <w:spacing w:line="229" w:lineRule="exact"/>
        <w:ind w:left="0"/>
        <w:jc w:val="both"/>
        <w:rPr>
          <w:b/>
          <w:sz w:val="24"/>
          <w:szCs w:val="22"/>
        </w:rPr>
      </w:pPr>
      <w:r w:rsidRPr="000F02E2">
        <w:rPr>
          <w:b/>
          <w:sz w:val="24"/>
          <w:szCs w:val="22"/>
        </w:rPr>
        <w:t xml:space="preserve">Perspektíva estetickej angažovanosti v súčasných slovenských mestách   </w:t>
      </w:r>
    </w:p>
    <w:p w14:paraId="281C9CE8" w14:textId="77777777" w:rsidR="00DD215A" w:rsidRDefault="00DD215A" w:rsidP="00DD215A">
      <w:pPr>
        <w:pStyle w:val="Nadpis4"/>
        <w:ind w:left="0"/>
      </w:pPr>
      <w:r w:rsidRPr="000F02E2">
        <w:t xml:space="preserve">Environmentálna estetika súvisí so spoločným, bežným prostredím, ktoré zdieľame a v ktorom žijeme. Arnold Berleant poukazuje na potrebu spoznávať a formovať toto životné prostredie. </w:t>
      </w:r>
      <w:r w:rsidRPr="000F02E2">
        <w:lastRenderedPageBreak/>
        <w:t>Ľudská schopnosť premietnuť sa do prostredí, cítiť sa s nimi spojení, dodáva estetickým zážitkom ich hĺbku a živosť. Cieľom rigoróznej práce je preskúmať, do akej miery sa estetická angažovanosť, zahŕňajúca aktívnu účasť na procese oceňovania, týka života vo vybraných slovenských mestách.</w:t>
      </w:r>
    </w:p>
    <w:p w14:paraId="6CBC26FA" w14:textId="6EA4C1FE" w:rsidR="00DD215A" w:rsidRPr="000F02E2" w:rsidRDefault="00DD215A" w:rsidP="00DD215A">
      <w:pPr>
        <w:pStyle w:val="Nadpis5"/>
        <w:ind w:left="0"/>
      </w:pPr>
      <w:r>
        <w:t>Literatúra:</w:t>
      </w:r>
    </w:p>
    <w:p w14:paraId="09303597" w14:textId="77777777" w:rsidR="00DD215A" w:rsidRPr="000F02E2" w:rsidRDefault="00DD215A" w:rsidP="00DD215A">
      <w:pPr>
        <w:pStyle w:val="Zkladntext"/>
        <w:ind w:left="0"/>
      </w:pPr>
      <w:r w:rsidRPr="000F02E2">
        <w:t xml:space="preserve">ALCARAZ, A. L. 2017. Introduction to Arnold Berleant’s Perspective. In: </w:t>
      </w:r>
      <w:r w:rsidRPr="000F02E2">
        <w:rPr>
          <w:i/>
        </w:rPr>
        <w:t>ESPES</w:t>
      </w:r>
      <w:r w:rsidRPr="000F02E2">
        <w:t xml:space="preserve"> [online]. 2017, roč. 6, č. 1. DOI: https://doi.org/10.5281/zenodo.6377943.</w:t>
      </w:r>
    </w:p>
    <w:p w14:paraId="1984A392" w14:textId="77777777" w:rsidR="00DD215A" w:rsidRPr="000F02E2" w:rsidRDefault="00DD215A" w:rsidP="00DD215A">
      <w:pPr>
        <w:pStyle w:val="Zkladntext"/>
        <w:ind w:left="0"/>
      </w:pPr>
      <w:r w:rsidRPr="000F02E2">
        <w:t xml:space="preserve">BERLEANT, A. 1992. </w:t>
      </w:r>
      <w:r w:rsidRPr="000F02E2">
        <w:rPr>
          <w:i/>
        </w:rPr>
        <w:t>The Aesthetics of Environment</w:t>
      </w:r>
      <w:r w:rsidRPr="000F02E2">
        <w:t>. Philadelphia: Temple University.</w:t>
      </w:r>
    </w:p>
    <w:p w14:paraId="1083D6FB" w14:textId="77777777" w:rsidR="00DD215A" w:rsidRPr="000F02E2" w:rsidRDefault="00DD215A" w:rsidP="00DD215A">
      <w:pPr>
        <w:pStyle w:val="Zkladntext"/>
        <w:ind w:left="0"/>
      </w:pPr>
      <w:r w:rsidRPr="000F02E2">
        <w:t xml:space="preserve">BERLEANT, A. 2012. </w:t>
      </w:r>
      <w:r w:rsidRPr="000F02E2">
        <w:rPr>
          <w:i/>
        </w:rPr>
        <w:t>Aesthetics Beyond the Arts: New and Recent Essays</w:t>
      </w:r>
      <w:r w:rsidRPr="000F02E2">
        <w:t>. London: Routledge. DOI: https://doi.org/10.4324/9781315565835.</w:t>
      </w:r>
    </w:p>
    <w:p w14:paraId="01202D77" w14:textId="07EAD0AF" w:rsidR="00237743" w:rsidRDefault="00237743" w:rsidP="00435DE4">
      <w:pPr>
        <w:pStyle w:val="Zkladntext"/>
        <w:ind w:left="0"/>
        <w:jc w:val="both"/>
      </w:pPr>
    </w:p>
    <w:p w14:paraId="3624D4D2" w14:textId="3E0556CE" w:rsidR="00237743" w:rsidRDefault="00237743" w:rsidP="00435DE4">
      <w:pPr>
        <w:pStyle w:val="Zkladntext"/>
        <w:ind w:left="0"/>
        <w:jc w:val="both"/>
      </w:pPr>
    </w:p>
    <w:p w14:paraId="40B442CD" w14:textId="77777777" w:rsidR="00237743" w:rsidRPr="004A283A" w:rsidRDefault="00237743" w:rsidP="00435DE4">
      <w:pPr>
        <w:pStyle w:val="Nadpis2"/>
        <w:ind w:left="0"/>
        <w:rPr>
          <w:sz w:val="28"/>
          <w:szCs w:val="28"/>
        </w:rPr>
      </w:pPr>
      <w:r w:rsidRPr="004A283A">
        <w:rPr>
          <w:sz w:val="28"/>
          <w:szCs w:val="28"/>
          <w:shd w:val="clear" w:color="auto" w:fill="D2D2D2"/>
        </w:rPr>
        <w:t>Rigorózne konanie v študijnom programe Učiteľstvo estetiky – získaný titul „doktor pedagogiky“ (PaedDr.)</w:t>
      </w:r>
    </w:p>
    <w:p w14:paraId="56C3D851" w14:textId="3385A3BF" w:rsidR="00237743" w:rsidRDefault="00237743" w:rsidP="00435DE4">
      <w:pPr>
        <w:jc w:val="both"/>
        <w:rPr>
          <w:sz w:val="20"/>
          <w:szCs w:val="20"/>
        </w:rPr>
      </w:pPr>
    </w:p>
    <w:p w14:paraId="7FBA5680" w14:textId="7BE2C7EB" w:rsidR="005A5B2A" w:rsidRPr="005A5B2A" w:rsidRDefault="005A5B2A" w:rsidP="00435DE4">
      <w:pPr>
        <w:rPr>
          <w:b/>
          <w:i/>
          <w:sz w:val="24"/>
        </w:rPr>
      </w:pPr>
      <w:r>
        <w:rPr>
          <w:b/>
          <w:i/>
          <w:sz w:val="24"/>
        </w:rPr>
        <w:t>prof</w:t>
      </w:r>
      <w:r w:rsidRPr="005A5B2A">
        <w:rPr>
          <w:b/>
          <w:i/>
          <w:sz w:val="24"/>
        </w:rPr>
        <w:t>.</w:t>
      </w:r>
      <w:r>
        <w:rPr>
          <w:b/>
          <w:i/>
          <w:sz w:val="24"/>
        </w:rPr>
        <w:t xml:space="preserve"> PaedDr. Slávka Kopčáková, PhD.</w:t>
      </w:r>
    </w:p>
    <w:p w14:paraId="4360B127" w14:textId="611A4465" w:rsidR="005A5B2A" w:rsidRPr="005A5B2A" w:rsidRDefault="005A5B2A" w:rsidP="00DD215A">
      <w:pPr>
        <w:jc w:val="both"/>
        <w:rPr>
          <w:b/>
          <w:sz w:val="24"/>
        </w:rPr>
      </w:pPr>
      <w:r w:rsidRPr="005A5B2A">
        <w:rPr>
          <w:b/>
          <w:sz w:val="24"/>
        </w:rPr>
        <w:t>Regionálne hudobno-kultúrne dedičstvo ako predmet estetickovýchovného</w:t>
      </w:r>
    </w:p>
    <w:p w14:paraId="0F54A77B" w14:textId="15ACD607" w:rsidR="005A5B2A" w:rsidRPr="005A5B2A" w:rsidRDefault="005A5B2A" w:rsidP="00DD215A">
      <w:pPr>
        <w:jc w:val="both"/>
        <w:rPr>
          <w:b/>
          <w:sz w:val="24"/>
        </w:rPr>
      </w:pPr>
      <w:r w:rsidRPr="005A5B2A">
        <w:rPr>
          <w:b/>
          <w:sz w:val="24"/>
        </w:rPr>
        <w:t>a muzeoedu</w:t>
      </w:r>
      <w:r>
        <w:rPr>
          <w:b/>
          <w:sz w:val="24"/>
        </w:rPr>
        <w:t>kačného projektového vyučovania</w:t>
      </w:r>
    </w:p>
    <w:p w14:paraId="7D086D29" w14:textId="6F663FA6" w:rsidR="00DD215A" w:rsidRPr="00DD215A" w:rsidRDefault="005A5B2A" w:rsidP="00DD215A">
      <w:pPr>
        <w:jc w:val="both"/>
        <w:rPr>
          <w:sz w:val="24"/>
        </w:rPr>
      </w:pPr>
      <w:r w:rsidRPr="005A5B2A">
        <w:rPr>
          <w:sz w:val="24"/>
        </w:rPr>
        <w:t>V estetickej výchove neustále zápasia dve tendencie: redukcia estetickej výchovy</w:t>
      </w:r>
      <w:r w:rsidRPr="005A5B2A">
        <w:rPr>
          <w:b/>
          <w:sz w:val="24"/>
        </w:rPr>
        <w:t xml:space="preserve"> </w:t>
      </w:r>
      <w:r w:rsidRPr="005A5B2A">
        <w:rPr>
          <w:sz w:val="24"/>
        </w:rPr>
        <w:t>iba na výchovu umeleckú alebo zdôrazňovanie jej teoretických asp</w:t>
      </w:r>
      <w:r w:rsidR="00DD215A">
        <w:rPr>
          <w:sz w:val="24"/>
        </w:rPr>
        <w:t>ektov na úkor praktických. Cieľom práce je sumarizácia, deskripcia a teoretická analýza</w:t>
      </w:r>
      <w:r w:rsidRPr="005A5B2A">
        <w:rPr>
          <w:sz w:val="24"/>
        </w:rPr>
        <w:t xml:space="preserve"> najnovších </w:t>
      </w:r>
      <w:r w:rsidR="00DD215A">
        <w:rPr>
          <w:sz w:val="24"/>
        </w:rPr>
        <w:t xml:space="preserve">realizovaných </w:t>
      </w:r>
      <w:r w:rsidRPr="005A5B2A">
        <w:rPr>
          <w:sz w:val="24"/>
        </w:rPr>
        <w:t>esteticko-edukačných a muzeoedu</w:t>
      </w:r>
      <w:r w:rsidR="00DD215A">
        <w:rPr>
          <w:sz w:val="24"/>
        </w:rPr>
        <w:t>kačných</w:t>
      </w:r>
      <w:r w:rsidRPr="005A5B2A">
        <w:rPr>
          <w:sz w:val="24"/>
        </w:rPr>
        <w:t xml:space="preserve"> proje</w:t>
      </w:r>
      <w:r w:rsidR="00DD215A">
        <w:rPr>
          <w:sz w:val="24"/>
        </w:rPr>
        <w:t xml:space="preserve">ktov ako príkladov dobrej praxe. Špecifikom témy </w:t>
      </w:r>
      <w:r w:rsidRPr="005A5B2A">
        <w:rPr>
          <w:sz w:val="24"/>
        </w:rPr>
        <w:t>je tematická zacielenosť</w:t>
      </w:r>
      <w:r w:rsidR="00DD215A">
        <w:rPr>
          <w:sz w:val="24"/>
        </w:rPr>
        <w:t xml:space="preserve"> na spoznávanie</w:t>
      </w:r>
      <w:r>
        <w:rPr>
          <w:sz w:val="24"/>
        </w:rPr>
        <w:t xml:space="preserve"> </w:t>
      </w:r>
      <w:r w:rsidRPr="005A5B2A">
        <w:rPr>
          <w:sz w:val="24"/>
        </w:rPr>
        <w:t>regionálneho kultúrneho dedičstva, do ktorého je integrovaný živý kontakt s umením prinášajúci estetický zážitok.</w:t>
      </w:r>
      <w:bookmarkStart w:id="1" w:name="page5"/>
      <w:bookmarkEnd w:id="1"/>
      <w:r w:rsidR="00DD215A" w:rsidRPr="005A5B2A">
        <w:rPr>
          <w:b/>
          <w:sz w:val="20"/>
          <w:szCs w:val="20"/>
        </w:rPr>
        <w:t xml:space="preserve"> </w:t>
      </w:r>
    </w:p>
    <w:p w14:paraId="29143A2B" w14:textId="46BA8836" w:rsidR="005A5B2A" w:rsidRPr="005A5B2A" w:rsidRDefault="005A5B2A" w:rsidP="00DD215A">
      <w:pPr>
        <w:jc w:val="both"/>
        <w:rPr>
          <w:b/>
          <w:sz w:val="20"/>
          <w:szCs w:val="20"/>
        </w:rPr>
      </w:pPr>
      <w:r w:rsidRPr="005A5B2A">
        <w:rPr>
          <w:b/>
          <w:sz w:val="20"/>
          <w:szCs w:val="20"/>
        </w:rPr>
        <w:t>Literatúra:</w:t>
      </w:r>
    </w:p>
    <w:p w14:paraId="402D951F" w14:textId="5A2C66C9" w:rsidR="005A5B2A" w:rsidRPr="005A5B2A" w:rsidRDefault="005A5B2A" w:rsidP="00DD215A">
      <w:pPr>
        <w:jc w:val="both"/>
        <w:rPr>
          <w:sz w:val="20"/>
          <w:szCs w:val="20"/>
        </w:rPr>
      </w:pPr>
      <w:r w:rsidRPr="005A5B2A">
        <w:rPr>
          <w:sz w:val="20"/>
          <w:szCs w:val="20"/>
        </w:rPr>
        <w:t xml:space="preserve">JŮVA, Vladimír. 2004. </w:t>
      </w:r>
      <w:r w:rsidRPr="005A5B2A">
        <w:rPr>
          <w:i/>
          <w:sz w:val="20"/>
          <w:szCs w:val="20"/>
        </w:rPr>
        <w:t>Dětské muzeum.</w:t>
      </w:r>
      <w:r w:rsidRPr="005A5B2A">
        <w:rPr>
          <w:sz w:val="20"/>
          <w:szCs w:val="20"/>
        </w:rPr>
        <w:t xml:space="preserve"> Brno : Paido, 2004. 264 s. READ, Herbert. 1967. </w:t>
      </w:r>
      <w:r w:rsidRPr="005A5B2A">
        <w:rPr>
          <w:i/>
          <w:sz w:val="20"/>
          <w:szCs w:val="20"/>
        </w:rPr>
        <w:t>Výchova uměním</w:t>
      </w:r>
      <w:r>
        <w:rPr>
          <w:sz w:val="20"/>
          <w:szCs w:val="20"/>
        </w:rPr>
        <w:t>. Praha : Odeon, 1967. 417 s.</w:t>
      </w:r>
    </w:p>
    <w:p w14:paraId="4027AA93" w14:textId="094B1185" w:rsidR="005A5B2A" w:rsidRPr="005A5B2A" w:rsidRDefault="005A5B2A" w:rsidP="00DD215A">
      <w:pPr>
        <w:jc w:val="both"/>
        <w:rPr>
          <w:sz w:val="20"/>
          <w:szCs w:val="20"/>
        </w:rPr>
      </w:pPr>
      <w:r w:rsidRPr="005A5B2A">
        <w:rPr>
          <w:sz w:val="20"/>
          <w:szCs w:val="20"/>
        </w:rPr>
        <w:t xml:space="preserve">DUŠENKOVÁ, Eva. 2010. Ochrana kultúrneho dedičstva na Slovensku a možnosti jej implementácie do študijných programov. In </w:t>
      </w:r>
      <w:r w:rsidRPr="005A5B2A">
        <w:rPr>
          <w:i/>
          <w:sz w:val="20"/>
          <w:szCs w:val="20"/>
        </w:rPr>
        <w:t>Jazyk a Kultúra</w:t>
      </w:r>
      <w:r>
        <w:rPr>
          <w:sz w:val="20"/>
          <w:szCs w:val="20"/>
        </w:rPr>
        <w:t xml:space="preserve"> 2010 (1), č. 3 , s. 1-7.</w:t>
      </w:r>
    </w:p>
    <w:p w14:paraId="4CC792AF" w14:textId="77777777" w:rsidR="005A5B2A" w:rsidRPr="005A5B2A" w:rsidRDefault="005A5B2A" w:rsidP="00DD215A">
      <w:pPr>
        <w:jc w:val="both"/>
        <w:rPr>
          <w:sz w:val="20"/>
          <w:szCs w:val="20"/>
        </w:rPr>
      </w:pPr>
      <w:r w:rsidRPr="005A5B2A">
        <w:rPr>
          <w:sz w:val="20"/>
          <w:szCs w:val="20"/>
        </w:rPr>
        <w:t>KOPČÁKOVÁ, Slávka 2012. Interpretácia hudby ako fundament estetickej reflexie a hudobnej edukácie na príklade spoznávania regionálneho hudobno-kultúrneho dedičstva. In</w:t>
      </w:r>
    </w:p>
    <w:p w14:paraId="509114B7" w14:textId="3412D74C" w:rsidR="005A5B2A" w:rsidRPr="005A5B2A" w:rsidRDefault="005A5B2A" w:rsidP="00DD215A">
      <w:pPr>
        <w:jc w:val="both"/>
        <w:rPr>
          <w:sz w:val="20"/>
          <w:szCs w:val="20"/>
        </w:rPr>
      </w:pPr>
      <w:r w:rsidRPr="005A5B2A">
        <w:rPr>
          <w:i/>
          <w:sz w:val="20"/>
          <w:szCs w:val="20"/>
        </w:rPr>
        <w:t xml:space="preserve">Musica viva in schola XXIII. </w:t>
      </w:r>
      <w:r w:rsidRPr="005A5B2A">
        <w:rPr>
          <w:sz w:val="20"/>
          <w:szCs w:val="20"/>
        </w:rPr>
        <w:t>Brno : PdF MU, s. 131</w:t>
      </w:r>
      <w:r w:rsidRPr="005A5B2A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–140.</w:t>
      </w:r>
    </w:p>
    <w:p w14:paraId="24C5EBA2" w14:textId="77777777" w:rsidR="005A5B2A" w:rsidRDefault="005A5B2A" w:rsidP="00DD215A">
      <w:pPr>
        <w:jc w:val="both"/>
        <w:rPr>
          <w:sz w:val="20"/>
          <w:szCs w:val="20"/>
        </w:rPr>
      </w:pPr>
    </w:p>
    <w:p w14:paraId="324E6F32" w14:textId="5FAED92E" w:rsidR="00237743" w:rsidRDefault="002628F5" w:rsidP="00DD215A">
      <w:pPr>
        <w:pStyle w:val="Nadpis3"/>
        <w:ind w:left="0"/>
      </w:pPr>
      <w:r>
        <w:t xml:space="preserve">doc. </w:t>
      </w:r>
      <w:r w:rsidR="00237743">
        <w:t>Mgr. Jana Migašová, PhD.</w:t>
      </w:r>
    </w:p>
    <w:p w14:paraId="69394581" w14:textId="77777777" w:rsidR="00237743" w:rsidRPr="00BC0475" w:rsidRDefault="00237743" w:rsidP="00DD215A">
      <w:pPr>
        <w:pStyle w:val="Nadpis4"/>
        <w:ind w:left="0" w:right="0"/>
        <w:rPr>
          <w:b/>
        </w:rPr>
      </w:pPr>
      <w:r w:rsidRPr="00BC0475">
        <w:rPr>
          <w:b/>
        </w:rPr>
        <w:t>Reflexia a interpretácia súčasného vizuálneho umenia v pedagogi</w:t>
      </w:r>
      <w:r>
        <w:rPr>
          <w:b/>
        </w:rPr>
        <w:t>ckej praxi na stredných školách</w:t>
      </w:r>
    </w:p>
    <w:p w14:paraId="552C4253" w14:textId="77777777" w:rsidR="00237743" w:rsidRDefault="00237743" w:rsidP="00DD215A">
      <w:pPr>
        <w:pStyle w:val="Nadpis4"/>
        <w:ind w:left="0" w:right="0"/>
      </w:pPr>
      <w:r>
        <w:t xml:space="preserve">Práca preveruje potreby, možnosti a formy začlenenia mediácie súčasného vizuálneho umenia do vzdelávacieho kurikula stredných škôl na Slovensku (najmä gymnázií, stredných pedagogických a umelecko-priemyslových škôl). Rovinu pedagogického výskumu budú prezentovať modely pedagogickej interpretácie umeleckého diela sledovaného umeleckého prúdu či smeru, ako aj domácej a regionálnej súčasnej umeleckej produkcie. Špecifikom práce bude kritické zhodnotenie komunikácie stredných škôl s galerijnými inštitúciami doma a v zahraničí a následné vypracovanie návrhu pre zvýšenie kvality ich vzájomnej kooperácie.  </w:t>
      </w:r>
    </w:p>
    <w:p w14:paraId="1DF9498A" w14:textId="77777777" w:rsidR="00237743" w:rsidRDefault="00237743" w:rsidP="00DD215A">
      <w:pPr>
        <w:pStyle w:val="Nadpis5"/>
        <w:spacing w:before="0" w:line="240" w:lineRule="auto"/>
        <w:ind w:left="0"/>
        <w:jc w:val="both"/>
      </w:pPr>
      <w:r>
        <w:t>Literatúra:</w:t>
      </w:r>
    </w:p>
    <w:p w14:paraId="7F86EF5F" w14:textId="77777777" w:rsidR="00237743" w:rsidRDefault="00237743" w:rsidP="00DD215A">
      <w:pPr>
        <w:jc w:val="both"/>
        <w:rPr>
          <w:sz w:val="20"/>
        </w:rPr>
      </w:pPr>
      <w:r>
        <w:rPr>
          <w:sz w:val="20"/>
        </w:rPr>
        <w:t xml:space="preserve">ATKINSON, D. 2012. Contemporary Art and Art in Education: The New, Emancipation and Truth. In </w:t>
      </w:r>
      <w:r>
        <w:rPr>
          <w:i/>
          <w:sz w:val="20"/>
        </w:rPr>
        <w:t>International Journal of Art &amp; Design Education</w:t>
      </w:r>
      <w:r>
        <w:rPr>
          <w:sz w:val="20"/>
        </w:rPr>
        <w:t>, roč. 32, č. 1, s. 5-18.</w:t>
      </w:r>
    </w:p>
    <w:p w14:paraId="769A1136" w14:textId="77777777" w:rsidR="00237743" w:rsidRDefault="00237743" w:rsidP="00DD215A">
      <w:pPr>
        <w:pStyle w:val="Zkladntext"/>
        <w:ind w:left="0"/>
        <w:jc w:val="both"/>
      </w:pPr>
      <w:r>
        <w:t xml:space="preserve">KOVÁČOVÁ, B. - GUILLAUME, M. 2010. </w:t>
      </w:r>
      <w:r>
        <w:rPr>
          <w:i/>
        </w:rPr>
        <w:t>Art vo vzdelávaní</w:t>
      </w:r>
      <w:r>
        <w:t>. Trnava: Trnavská univerzita. ISBN : 978 -80-8082- 401-3.</w:t>
      </w:r>
    </w:p>
    <w:p w14:paraId="49EC8C84" w14:textId="77777777" w:rsidR="00435DE4" w:rsidRDefault="00237743" w:rsidP="00DD215A">
      <w:pPr>
        <w:pStyle w:val="Zkladntext"/>
        <w:ind w:left="0"/>
        <w:jc w:val="both"/>
      </w:pPr>
      <w:r>
        <w:t xml:space="preserve">PAVLIKÁNOVÁ, M.. 2013. Dívať sa, diviť sa, rozumieť? Obsah a odraz umenia vo vzdelávaní. In </w:t>
      </w:r>
      <w:r>
        <w:rPr>
          <w:i/>
        </w:rPr>
        <w:t>Kultura, umění, výchova</w:t>
      </w:r>
      <w:r>
        <w:t xml:space="preserve">. [cit. 2017-10-03]. ISSN 2336-1824. </w:t>
      </w:r>
    </w:p>
    <w:p w14:paraId="0F932EA5" w14:textId="5B32E0F2" w:rsidR="00237743" w:rsidRDefault="00237743" w:rsidP="00DD215A">
      <w:pPr>
        <w:pStyle w:val="Zkladntext"/>
        <w:ind w:left="0"/>
        <w:jc w:val="both"/>
      </w:pPr>
      <w:r>
        <w:t xml:space="preserve">Dostupné z: </w:t>
      </w:r>
      <w:hyperlink r:id="rId11">
        <w:r>
          <w:t>http://www.kuv.upol.cz/index.php?seo_url=aktualni-</w:t>
        </w:r>
      </w:hyperlink>
      <w:r>
        <w:t xml:space="preserve"> cislo&amp;casopis=3&amp;clanek=20.</w:t>
      </w:r>
    </w:p>
    <w:p w14:paraId="1C712452" w14:textId="77777777" w:rsidR="00237743" w:rsidRDefault="00237743" w:rsidP="00DD215A">
      <w:pPr>
        <w:pStyle w:val="Zkladntext"/>
        <w:ind w:left="0"/>
        <w:jc w:val="both"/>
      </w:pPr>
      <w:r>
        <w:rPr>
          <w:i/>
        </w:rPr>
        <w:t>Štátne vzdelávacie programy</w:t>
      </w:r>
      <w:r>
        <w:t>. 2013. In Ministerstvo školstva, vedy, výskumu a športu SR. [online], [cit. 2017-10- 03]. Dostupné z https://</w:t>
      </w:r>
      <w:hyperlink r:id="rId12">
        <w:r>
          <w:t>www.minedu.sk/8387-sk/statne-vzdelavacie-programy/</w:t>
        </w:r>
      </w:hyperlink>
    </w:p>
    <w:p w14:paraId="3B8B0FFE" w14:textId="77777777" w:rsidR="00237743" w:rsidRDefault="00237743" w:rsidP="00DD215A">
      <w:pPr>
        <w:pStyle w:val="Zkladntext"/>
        <w:ind w:left="0"/>
        <w:jc w:val="both"/>
        <w:rPr>
          <w:sz w:val="24"/>
        </w:rPr>
      </w:pPr>
    </w:p>
    <w:p w14:paraId="60F15192" w14:textId="2E45483E" w:rsidR="00237743" w:rsidRDefault="002628F5" w:rsidP="00DD215A">
      <w:pPr>
        <w:pStyle w:val="Nadpis3"/>
        <w:ind w:left="0"/>
      </w:pPr>
      <w:r>
        <w:t xml:space="preserve">doc. </w:t>
      </w:r>
      <w:r w:rsidR="00237743">
        <w:t>Mgr. Adrián Kvokačka, PhD.</w:t>
      </w:r>
    </w:p>
    <w:p w14:paraId="24D34720" w14:textId="108CF90E" w:rsidR="00237743" w:rsidRPr="00FA53DA" w:rsidRDefault="00237743" w:rsidP="00DD215A">
      <w:pPr>
        <w:pStyle w:val="Odsekzoznamu"/>
        <w:ind w:left="0" w:firstLine="0"/>
        <w:rPr>
          <w:b/>
          <w:sz w:val="24"/>
        </w:rPr>
      </w:pPr>
      <w:r>
        <w:rPr>
          <w:b/>
          <w:sz w:val="24"/>
        </w:rPr>
        <w:lastRenderedPageBreak/>
        <w:t xml:space="preserve">Estetické aspekty videohier. </w:t>
      </w:r>
      <w:r w:rsidRPr="00FA53DA">
        <w:rPr>
          <w:b/>
          <w:sz w:val="24"/>
        </w:rPr>
        <w:t>Imerzí</w:t>
      </w:r>
      <w:r w:rsidR="00DD215A">
        <w:rPr>
          <w:b/>
          <w:sz w:val="24"/>
        </w:rPr>
        <w:t>vne obrazy v estetickej výchove</w:t>
      </w:r>
    </w:p>
    <w:p w14:paraId="585C5E7B" w14:textId="77777777" w:rsidR="00237743" w:rsidRPr="006942ED" w:rsidRDefault="00237743" w:rsidP="00DD215A">
      <w:pPr>
        <w:jc w:val="both"/>
        <w:rPr>
          <w:bCs/>
          <w:sz w:val="24"/>
        </w:rPr>
      </w:pPr>
      <w:r>
        <w:rPr>
          <w:bCs/>
          <w:sz w:val="24"/>
        </w:rPr>
        <w:t>Téma imerzívnych obrazov zasahuje prakticky všetky podoby súčasného použitia možností virtuálneho, fiktívneho sveta. Najčastejšie autori sústreďujú svoju pozornosť na estetické skúsenosti, ktoré zažívame pri pobyte v rozdielnych svetoch videohier. Autor(ka) by sa mal(a) sústrediť na možnosti použitia týchto skúseností v oblasti estetickej výchovy.</w:t>
      </w:r>
    </w:p>
    <w:p w14:paraId="6AA175F0" w14:textId="77777777" w:rsidR="00237743" w:rsidRDefault="00237743" w:rsidP="00DD215A">
      <w:pPr>
        <w:pStyle w:val="Nadpis5"/>
        <w:spacing w:before="0" w:line="240" w:lineRule="auto"/>
        <w:ind w:left="0"/>
        <w:jc w:val="both"/>
      </w:pPr>
      <w:r>
        <w:t>Literatúra</w:t>
      </w:r>
    </w:p>
    <w:p w14:paraId="4F366F8C" w14:textId="77777777" w:rsidR="00237743" w:rsidRPr="006942ED" w:rsidRDefault="00237743" w:rsidP="00DD215A">
      <w:pPr>
        <w:widowControl/>
        <w:autoSpaceDE/>
        <w:autoSpaceDN/>
        <w:jc w:val="both"/>
        <w:rPr>
          <w:sz w:val="20"/>
          <w:szCs w:val="20"/>
          <w:lang w:eastAsia="sk-SK"/>
        </w:rPr>
      </w:pPr>
      <w:r w:rsidRPr="006942ED">
        <w:rPr>
          <w:sz w:val="20"/>
          <w:szCs w:val="20"/>
          <w:lang w:eastAsia="sk-SK"/>
        </w:rPr>
        <w:t xml:space="preserve">GRABBE, Lars Christian, Patrick RUPERT-KRUSE a Norbert M. SCHMITZ, ed., 2016. </w:t>
      </w:r>
      <w:r w:rsidRPr="006942ED">
        <w:rPr>
          <w:i/>
          <w:iCs/>
          <w:sz w:val="20"/>
          <w:szCs w:val="20"/>
          <w:lang w:eastAsia="sk-SK"/>
        </w:rPr>
        <w:t>Image embodiment: new perspectives of the sensory turn</w:t>
      </w:r>
      <w:r w:rsidRPr="006942ED">
        <w:rPr>
          <w:sz w:val="20"/>
          <w:szCs w:val="20"/>
          <w:lang w:eastAsia="sk-SK"/>
        </w:rPr>
        <w:t xml:space="preserve">. Darmstadt: Büchner. Yearbook of Moving Image Studies (YoMIS), 2016. ISBN 978-3-941310-77-3. </w:t>
      </w:r>
    </w:p>
    <w:p w14:paraId="76623542" w14:textId="77777777" w:rsidR="00237743" w:rsidRPr="00FA53DA" w:rsidRDefault="00237743" w:rsidP="00DD215A">
      <w:pPr>
        <w:widowControl/>
        <w:autoSpaceDE/>
        <w:autoSpaceDN/>
        <w:jc w:val="both"/>
        <w:rPr>
          <w:sz w:val="20"/>
          <w:szCs w:val="20"/>
          <w:lang w:eastAsia="sk-SK"/>
        </w:rPr>
      </w:pPr>
      <w:r w:rsidRPr="00FA53DA">
        <w:rPr>
          <w:sz w:val="20"/>
          <w:szCs w:val="20"/>
          <w:lang w:eastAsia="sk-SK"/>
        </w:rPr>
        <w:t xml:space="preserve">ROBSON, Jon a Grant TAVINOR, ed., 2018. </w:t>
      </w:r>
      <w:r w:rsidRPr="00FA53DA">
        <w:rPr>
          <w:i/>
          <w:iCs/>
          <w:sz w:val="20"/>
          <w:szCs w:val="20"/>
          <w:lang w:eastAsia="sk-SK"/>
        </w:rPr>
        <w:t>The aesthetics of videogames</w:t>
      </w:r>
      <w:r w:rsidRPr="00FA53DA">
        <w:rPr>
          <w:sz w:val="20"/>
          <w:szCs w:val="20"/>
          <w:lang w:eastAsia="sk-SK"/>
        </w:rPr>
        <w:t xml:space="preserve">. New York: Routledge, Taylor &amp; Francis Group. Routledge research in aesthetics, 2. ISBN 978-1-138-62958-5. </w:t>
      </w:r>
    </w:p>
    <w:p w14:paraId="30A2184B" w14:textId="77777777" w:rsidR="00237743" w:rsidRPr="00FA53DA" w:rsidRDefault="00237743" w:rsidP="00DD215A">
      <w:pPr>
        <w:widowControl/>
        <w:autoSpaceDE/>
        <w:autoSpaceDN/>
        <w:jc w:val="both"/>
        <w:rPr>
          <w:sz w:val="20"/>
          <w:szCs w:val="20"/>
          <w:lang w:eastAsia="sk-SK"/>
        </w:rPr>
      </w:pPr>
      <w:r w:rsidRPr="00FA53DA">
        <w:rPr>
          <w:sz w:val="20"/>
          <w:szCs w:val="20"/>
          <w:lang w:eastAsia="sk-SK"/>
        </w:rPr>
        <w:t xml:space="preserve">TAVINOR, Grant, 2009. </w:t>
      </w:r>
      <w:r w:rsidRPr="00FA53DA">
        <w:rPr>
          <w:i/>
          <w:iCs/>
          <w:sz w:val="20"/>
          <w:szCs w:val="20"/>
          <w:lang w:eastAsia="sk-SK"/>
        </w:rPr>
        <w:t>The art of videogames</w:t>
      </w:r>
      <w:r w:rsidRPr="00FA53DA">
        <w:rPr>
          <w:sz w:val="20"/>
          <w:szCs w:val="20"/>
          <w:lang w:eastAsia="sk-SK"/>
        </w:rPr>
        <w:t xml:space="preserve">. Malden, MA: Wiley-Blackwell. New directions in aesthetics, 10. ISBN 978-1-4051-8789-3. </w:t>
      </w:r>
    </w:p>
    <w:p w14:paraId="271226ED" w14:textId="7504A098" w:rsidR="002410AA" w:rsidRDefault="00237743" w:rsidP="00DD215A">
      <w:pPr>
        <w:jc w:val="both"/>
        <w:rPr>
          <w:color w:val="0000FF"/>
          <w:sz w:val="20"/>
          <w:szCs w:val="20"/>
          <w:u w:val="single"/>
          <w:lang w:eastAsia="sk-SK"/>
        </w:rPr>
      </w:pPr>
      <w:r w:rsidRPr="006942ED">
        <w:rPr>
          <w:sz w:val="20"/>
          <w:szCs w:val="20"/>
          <w:lang w:eastAsia="sk-SK"/>
        </w:rPr>
        <w:t xml:space="preserve">TAVINOR, Grant, 2011. Video Games as Mass Art. </w:t>
      </w:r>
      <w:r w:rsidRPr="006942ED">
        <w:rPr>
          <w:i/>
          <w:iCs/>
          <w:sz w:val="20"/>
          <w:szCs w:val="20"/>
          <w:lang w:eastAsia="sk-SK"/>
        </w:rPr>
        <w:t>Contemporary Aesthetics (Journal Archive)</w:t>
      </w:r>
      <w:r w:rsidRPr="006942ED">
        <w:rPr>
          <w:sz w:val="20"/>
          <w:szCs w:val="20"/>
          <w:lang w:eastAsia="sk-SK"/>
        </w:rPr>
        <w:t xml:space="preserve"> [online]. 2011, roč. 9, č. 1. Dostupné na: </w:t>
      </w:r>
      <w:hyperlink r:id="rId13" w:history="1">
        <w:r w:rsidR="005A5B2A" w:rsidRPr="0068331D">
          <w:rPr>
            <w:rStyle w:val="Hypertextovprepojenie"/>
            <w:sz w:val="20"/>
            <w:szCs w:val="20"/>
            <w:lang w:eastAsia="sk-SK"/>
          </w:rPr>
          <w:t>https://digitalcommons.risd.edu/liberalarts_contempaesthetic</w:t>
        </w:r>
      </w:hyperlink>
    </w:p>
    <w:p w14:paraId="6D8278C8" w14:textId="123D8F23" w:rsidR="005A5B2A" w:rsidRPr="00253CC6" w:rsidRDefault="005A5B2A" w:rsidP="00DD215A">
      <w:pPr>
        <w:jc w:val="both"/>
      </w:pPr>
    </w:p>
    <w:sectPr w:rsidR="005A5B2A" w:rsidRPr="00253CC6" w:rsidSect="00CC4BDA">
      <w:pgSz w:w="1190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8380B" w14:textId="77777777" w:rsidR="007C6B4C" w:rsidRDefault="007C6B4C" w:rsidP="00BA426D">
      <w:r>
        <w:separator/>
      </w:r>
    </w:p>
  </w:endnote>
  <w:endnote w:type="continuationSeparator" w:id="0">
    <w:p w14:paraId="381AD2CB" w14:textId="77777777" w:rsidR="007C6B4C" w:rsidRDefault="007C6B4C" w:rsidP="00BA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erif">
    <w:altName w:val="Times New Roman"/>
    <w:charset w:val="EE"/>
    <w:family w:val="roman"/>
    <w:pitch w:val="variable"/>
    <w:sig w:usb0="E00002FF" w:usb1="500078FF" w:usb2="0800002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BA574" w14:textId="77777777" w:rsidR="007C6B4C" w:rsidRDefault="007C6B4C" w:rsidP="00BA426D">
      <w:r>
        <w:separator/>
      </w:r>
    </w:p>
  </w:footnote>
  <w:footnote w:type="continuationSeparator" w:id="0">
    <w:p w14:paraId="78A17745" w14:textId="77777777" w:rsidR="007C6B4C" w:rsidRDefault="007C6B4C" w:rsidP="00BA4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3756"/>
    <w:multiLevelType w:val="hybridMultilevel"/>
    <w:tmpl w:val="603AFFE0"/>
    <w:lvl w:ilvl="0" w:tplc="C7FCAD00">
      <w:start w:val="1"/>
      <w:numFmt w:val="decimal"/>
      <w:lvlText w:val="%1."/>
      <w:lvlJc w:val="left"/>
      <w:pPr>
        <w:ind w:left="119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k-SK" w:eastAsia="en-US" w:bidi="ar-SA"/>
      </w:rPr>
    </w:lvl>
    <w:lvl w:ilvl="1" w:tplc="61C8892C">
      <w:numFmt w:val="bullet"/>
      <w:lvlText w:val="•"/>
      <w:lvlJc w:val="left"/>
      <w:pPr>
        <w:ind w:left="1067" w:hanging="243"/>
      </w:pPr>
      <w:rPr>
        <w:rFonts w:hint="default"/>
        <w:lang w:val="sk-SK" w:eastAsia="en-US" w:bidi="ar-SA"/>
      </w:rPr>
    </w:lvl>
    <w:lvl w:ilvl="2" w:tplc="E8D28162">
      <w:numFmt w:val="bullet"/>
      <w:lvlText w:val="•"/>
      <w:lvlJc w:val="left"/>
      <w:pPr>
        <w:ind w:left="2015" w:hanging="243"/>
      </w:pPr>
      <w:rPr>
        <w:rFonts w:hint="default"/>
        <w:lang w:val="sk-SK" w:eastAsia="en-US" w:bidi="ar-SA"/>
      </w:rPr>
    </w:lvl>
    <w:lvl w:ilvl="3" w:tplc="EC02C52C">
      <w:numFmt w:val="bullet"/>
      <w:lvlText w:val="•"/>
      <w:lvlJc w:val="left"/>
      <w:pPr>
        <w:ind w:left="2963" w:hanging="243"/>
      </w:pPr>
      <w:rPr>
        <w:rFonts w:hint="default"/>
        <w:lang w:val="sk-SK" w:eastAsia="en-US" w:bidi="ar-SA"/>
      </w:rPr>
    </w:lvl>
    <w:lvl w:ilvl="4" w:tplc="AC1067C0">
      <w:numFmt w:val="bullet"/>
      <w:lvlText w:val="•"/>
      <w:lvlJc w:val="left"/>
      <w:pPr>
        <w:ind w:left="3911" w:hanging="243"/>
      </w:pPr>
      <w:rPr>
        <w:rFonts w:hint="default"/>
        <w:lang w:val="sk-SK" w:eastAsia="en-US" w:bidi="ar-SA"/>
      </w:rPr>
    </w:lvl>
    <w:lvl w:ilvl="5" w:tplc="BA165A9E">
      <w:numFmt w:val="bullet"/>
      <w:lvlText w:val="•"/>
      <w:lvlJc w:val="left"/>
      <w:pPr>
        <w:ind w:left="4859" w:hanging="243"/>
      </w:pPr>
      <w:rPr>
        <w:rFonts w:hint="default"/>
        <w:lang w:val="sk-SK" w:eastAsia="en-US" w:bidi="ar-SA"/>
      </w:rPr>
    </w:lvl>
    <w:lvl w:ilvl="6" w:tplc="BD90C230">
      <w:numFmt w:val="bullet"/>
      <w:lvlText w:val="•"/>
      <w:lvlJc w:val="left"/>
      <w:pPr>
        <w:ind w:left="5807" w:hanging="243"/>
      </w:pPr>
      <w:rPr>
        <w:rFonts w:hint="default"/>
        <w:lang w:val="sk-SK" w:eastAsia="en-US" w:bidi="ar-SA"/>
      </w:rPr>
    </w:lvl>
    <w:lvl w:ilvl="7" w:tplc="2968D05C">
      <w:numFmt w:val="bullet"/>
      <w:lvlText w:val="•"/>
      <w:lvlJc w:val="left"/>
      <w:pPr>
        <w:ind w:left="6755" w:hanging="243"/>
      </w:pPr>
      <w:rPr>
        <w:rFonts w:hint="default"/>
        <w:lang w:val="sk-SK" w:eastAsia="en-US" w:bidi="ar-SA"/>
      </w:rPr>
    </w:lvl>
    <w:lvl w:ilvl="8" w:tplc="ED662562">
      <w:numFmt w:val="bullet"/>
      <w:lvlText w:val="•"/>
      <w:lvlJc w:val="left"/>
      <w:pPr>
        <w:ind w:left="7703" w:hanging="243"/>
      </w:pPr>
      <w:rPr>
        <w:rFonts w:hint="default"/>
        <w:lang w:val="sk-SK" w:eastAsia="en-US" w:bidi="ar-SA"/>
      </w:rPr>
    </w:lvl>
  </w:abstractNum>
  <w:abstractNum w:abstractNumId="1" w15:restartNumberingAfterBreak="0">
    <w:nsid w:val="39C75322"/>
    <w:multiLevelType w:val="hybridMultilevel"/>
    <w:tmpl w:val="19D8BF4E"/>
    <w:lvl w:ilvl="0" w:tplc="C25E3D0A">
      <w:start w:val="1"/>
      <w:numFmt w:val="decimal"/>
      <w:lvlText w:val="%1."/>
      <w:lvlJc w:val="left"/>
      <w:pPr>
        <w:ind w:left="119" w:hanging="26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sk-SK" w:eastAsia="en-US" w:bidi="ar-SA"/>
      </w:rPr>
    </w:lvl>
    <w:lvl w:ilvl="1" w:tplc="18F84B84">
      <w:numFmt w:val="bullet"/>
      <w:lvlText w:val="•"/>
      <w:lvlJc w:val="left"/>
      <w:pPr>
        <w:ind w:left="1067" w:hanging="262"/>
      </w:pPr>
      <w:rPr>
        <w:rFonts w:hint="default"/>
        <w:lang w:val="sk-SK" w:eastAsia="en-US" w:bidi="ar-SA"/>
      </w:rPr>
    </w:lvl>
    <w:lvl w:ilvl="2" w:tplc="94727F6A">
      <w:numFmt w:val="bullet"/>
      <w:lvlText w:val="•"/>
      <w:lvlJc w:val="left"/>
      <w:pPr>
        <w:ind w:left="2015" w:hanging="262"/>
      </w:pPr>
      <w:rPr>
        <w:rFonts w:hint="default"/>
        <w:lang w:val="sk-SK" w:eastAsia="en-US" w:bidi="ar-SA"/>
      </w:rPr>
    </w:lvl>
    <w:lvl w:ilvl="3" w:tplc="90EADB38">
      <w:numFmt w:val="bullet"/>
      <w:lvlText w:val="•"/>
      <w:lvlJc w:val="left"/>
      <w:pPr>
        <w:ind w:left="2963" w:hanging="262"/>
      </w:pPr>
      <w:rPr>
        <w:rFonts w:hint="default"/>
        <w:lang w:val="sk-SK" w:eastAsia="en-US" w:bidi="ar-SA"/>
      </w:rPr>
    </w:lvl>
    <w:lvl w:ilvl="4" w:tplc="AAEC96E4">
      <w:numFmt w:val="bullet"/>
      <w:lvlText w:val="•"/>
      <w:lvlJc w:val="left"/>
      <w:pPr>
        <w:ind w:left="3911" w:hanging="262"/>
      </w:pPr>
      <w:rPr>
        <w:rFonts w:hint="default"/>
        <w:lang w:val="sk-SK" w:eastAsia="en-US" w:bidi="ar-SA"/>
      </w:rPr>
    </w:lvl>
    <w:lvl w:ilvl="5" w:tplc="16E01186">
      <w:numFmt w:val="bullet"/>
      <w:lvlText w:val="•"/>
      <w:lvlJc w:val="left"/>
      <w:pPr>
        <w:ind w:left="4859" w:hanging="262"/>
      </w:pPr>
      <w:rPr>
        <w:rFonts w:hint="default"/>
        <w:lang w:val="sk-SK" w:eastAsia="en-US" w:bidi="ar-SA"/>
      </w:rPr>
    </w:lvl>
    <w:lvl w:ilvl="6" w:tplc="AB881EDC">
      <w:numFmt w:val="bullet"/>
      <w:lvlText w:val="•"/>
      <w:lvlJc w:val="left"/>
      <w:pPr>
        <w:ind w:left="5807" w:hanging="262"/>
      </w:pPr>
      <w:rPr>
        <w:rFonts w:hint="default"/>
        <w:lang w:val="sk-SK" w:eastAsia="en-US" w:bidi="ar-SA"/>
      </w:rPr>
    </w:lvl>
    <w:lvl w:ilvl="7" w:tplc="45B0EA40">
      <w:numFmt w:val="bullet"/>
      <w:lvlText w:val="•"/>
      <w:lvlJc w:val="left"/>
      <w:pPr>
        <w:ind w:left="6755" w:hanging="262"/>
      </w:pPr>
      <w:rPr>
        <w:rFonts w:hint="default"/>
        <w:lang w:val="sk-SK" w:eastAsia="en-US" w:bidi="ar-SA"/>
      </w:rPr>
    </w:lvl>
    <w:lvl w:ilvl="8" w:tplc="21B8DAD2">
      <w:numFmt w:val="bullet"/>
      <w:lvlText w:val="•"/>
      <w:lvlJc w:val="left"/>
      <w:pPr>
        <w:ind w:left="7703" w:hanging="262"/>
      </w:pPr>
      <w:rPr>
        <w:rFonts w:hint="default"/>
        <w:lang w:val="sk-SK" w:eastAsia="en-US" w:bidi="ar-SA"/>
      </w:rPr>
    </w:lvl>
  </w:abstractNum>
  <w:abstractNum w:abstractNumId="2" w15:restartNumberingAfterBreak="0">
    <w:nsid w:val="6E592784"/>
    <w:multiLevelType w:val="hybridMultilevel"/>
    <w:tmpl w:val="FD3A382A"/>
    <w:lvl w:ilvl="0" w:tplc="6270EB6A">
      <w:start w:val="1"/>
      <w:numFmt w:val="decimal"/>
      <w:lvlText w:val="%1."/>
      <w:lvlJc w:val="left"/>
      <w:pPr>
        <w:ind w:left="4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7" w:hanging="360"/>
      </w:pPr>
    </w:lvl>
    <w:lvl w:ilvl="2" w:tplc="041B001B" w:tentative="1">
      <w:start w:val="1"/>
      <w:numFmt w:val="lowerRoman"/>
      <w:lvlText w:val="%3."/>
      <w:lvlJc w:val="right"/>
      <w:pPr>
        <w:ind w:left="1917" w:hanging="180"/>
      </w:pPr>
    </w:lvl>
    <w:lvl w:ilvl="3" w:tplc="041B000F" w:tentative="1">
      <w:start w:val="1"/>
      <w:numFmt w:val="decimal"/>
      <w:lvlText w:val="%4."/>
      <w:lvlJc w:val="left"/>
      <w:pPr>
        <w:ind w:left="2637" w:hanging="360"/>
      </w:pPr>
    </w:lvl>
    <w:lvl w:ilvl="4" w:tplc="041B0019" w:tentative="1">
      <w:start w:val="1"/>
      <w:numFmt w:val="lowerLetter"/>
      <w:lvlText w:val="%5."/>
      <w:lvlJc w:val="left"/>
      <w:pPr>
        <w:ind w:left="3357" w:hanging="360"/>
      </w:pPr>
    </w:lvl>
    <w:lvl w:ilvl="5" w:tplc="041B001B" w:tentative="1">
      <w:start w:val="1"/>
      <w:numFmt w:val="lowerRoman"/>
      <w:lvlText w:val="%6."/>
      <w:lvlJc w:val="right"/>
      <w:pPr>
        <w:ind w:left="4077" w:hanging="180"/>
      </w:pPr>
    </w:lvl>
    <w:lvl w:ilvl="6" w:tplc="041B000F" w:tentative="1">
      <w:start w:val="1"/>
      <w:numFmt w:val="decimal"/>
      <w:lvlText w:val="%7."/>
      <w:lvlJc w:val="left"/>
      <w:pPr>
        <w:ind w:left="4797" w:hanging="360"/>
      </w:pPr>
    </w:lvl>
    <w:lvl w:ilvl="7" w:tplc="041B0019" w:tentative="1">
      <w:start w:val="1"/>
      <w:numFmt w:val="lowerLetter"/>
      <w:lvlText w:val="%8."/>
      <w:lvlJc w:val="left"/>
      <w:pPr>
        <w:ind w:left="5517" w:hanging="360"/>
      </w:pPr>
    </w:lvl>
    <w:lvl w:ilvl="8" w:tplc="041B001B" w:tentative="1">
      <w:start w:val="1"/>
      <w:numFmt w:val="lowerRoman"/>
      <w:lvlText w:val="%9."/>
      <w:lvlJc w:val="right"/>
      <w:pPr>
        <w:ind w:left="623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AA"/>
    <w:rsid w:val="000D7718"/>
    <w:rsid w:val="000F6063"/>
    <w:rsid w:val="00105441"/>
    <w:rsid w:val="001522D1"/>
    <w:rsid w:val="0017685A"/>
    <w:rsid w:val="00237743"/>
    <w:rsid w:val="002410AA"/>
    <w:rsid w:val="00253CC6"/>
    <w:rsid w:val="002628F5"/>
    <w:rsid w:val="00281410"/>
    <w:rsid w:val="002A258D"/>
    <w:rsid w:val="00376F41"/>
    <w:rsid w:val="003855A0"/>
    <w:rsid w:val="0039450A"/>
    <w:rsid w:val="00420E2C"/>
    <w:rsid w:val="00435DE4"/>
    <w:rsid w:val="00454D0D"/>
    <w:rsid w:val="004563B0"/>
    <w:rsid w:val="004A283A"/>
    <w:rsid w:val="004B455F"/>
    <w:rsid w:val="005370DD"/>
    <w:rsid w:val="00551507"/>
    <w:rsid w:val="00570944"/>
    <w:rsid w:val="00596AD8"/>
    <w:rsid w:val="005A5B2A"/>
    <w:rsid w:val="006942ED"/>
    <w:rsid w:val="007A7E80"/>
    <w:rsid w:val="007C6B4C"/>
    <w:rsid w:val="00870EDB"/>
    <w:rsid w:val="0088509A"/>
    <w:rsid w:val="0089383A"/>
    <w:rsid w:val="008D609D"/>
    <w:rsid w:val="00BA426D"/>
    <w:rsid w:val="00BB7D87"/>
    <w:rsid w:val="00BC0475"/>
    <w:rsid w:val="00CC4BDA"/>
    <w:rsid w:val="00CF00A9"/>
    <w:rsid w:val="00DD215A"/>
    <w:rsid w:val="00E03DD9"/>
    <w:rsid w:val="00E877F6"/>
    <w:rsid w:val="00F5726A"/>
    <w:rsid w:val="00FA53DA"/>
    <w:rsid w:val="00FD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2334"/>
  <w15:docId w15:val="{F173C133-0E89-40DE-A719-82E9A80CD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5A5B2A"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1"/>
    <w:qFormat/>
    <w:pPr>
      <w:spacing w:line="313" w:lineRule="exact"/>
      <w:ind w:left="119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119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y"/>
    <w:link w:val="Nadpis3Char"/>
    <w:uiPriority w:val="1"/>
    <w:qFormat/>
    <w:pPr>
      <w:ind w:left="119"/>
      <w:jc w:val="both"/>
      <w:outlineLvl w:val="2"/>
    </w:pPr>
    <w:rPr>
      <w:b/>
      <w:bCs/>
      <w:i/>
      <w:sz w:val="24"/>
      <w:szCs w:val="24"/>
    </w:rPr>
  </w:style>
  <w:style w:type="paragraph" w:styleId="Nadpis4">
    <w:name w:val="heading 4"/>
    <w:basedOn w:val="Normlny"/>
    <w:link w:val="Nadpis4Char"/>
    <w:uiPriority w:val="1"/>
    <w:qFormat/>
    <w:pPr>
      <w:ind w:left="119" w:right="115"/>
      <w:jc w:val="both"/>
      <w:outlineLvl w:val="3"/>
    </w:pPr>
    <w:rPr>
      <w:sz w:val="24"/>
      <w:szCs w:val="24"/>
    </w:rPr>
  </w:style>
  <w:style w:type="paragraph" w:styleId="Nadpis5">
    <w:name w:val="heading 5"/>
    <w:basedOn w:val="Normlny"/>
    <w:link w:val="Nadpis5Char"/>
    <w:uiPriority w:val="1"/>
    <w:qFormat/>
    <w:pPr>
      <w:spacing w:before="16" w:line="224" w:lineRule="exact"/>
      <w:ind w:left="119"/>
      <w:outlineLvl w:val="4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pPr>
      <w:ind w:left="119"/>
    </w:pPr>
    <w:rPr>
      <w:sz w:val="20"/>
      <w:szCs w:val="20"/>
    </w:rPr>
  </w:style>
  <w:style w:type="paragraph" w:styleId="Nzov">
    <w:name w:val="Title"/>
    <w:basedOn w:val="Normlny"/>
    <w:uiPriority w:val="1"/>
    <w:qFormat/>
    <w:pPr>
      <w:spacing w:before="65" w:line="409" w:lineRule="exact"/>
      <w:ind w:left="119"/>
    </w:pPr>
    <w:rPr>
      <w:b/>
      <w:bCs/>
      <w:sz w:val="36"/>
      <w:szCs w:val="36"/>
    </w:rPr>
  </w:style>
  <w:style w:type="paragraph" w:styleId="Odsekzoznamu">
    <w:name w:val="List Paragraph"/>
    <w:basedOn w:val="Normlny"/>
    <w:uiPriority w:val="1"/>
    <w:qFormat/>
    <w:pPr>
      <w:ind w:left="119" w:hanging="3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character" w:styleId="Hypertextovprepojenie">
    <w:name w:val="Hyperlink"/>
    <w:basedOn w:val="Predvolenpsmoodseku"/>
    <w:uiPriority w:val="99"/>
    <w:unhideWhenUsed/>
    <w:rsid w:val="00FA53DA"/>
    <w:rPr>
      <w:color w:val="0000FF"/>
      <w:u w:val="single"/>
    </w:rPr>
  </w:style>
  <w:style w:type="character" w:customStyle="1" w:styleId="ZkladntextChar">
    <w:name w:val="Základný text Char"/>
    <w:basedOn w:val="Predvolenpsmoodseku"/>
    <w:link w:val="Zkladntext"/>
    <w:uiPriority w:val="1"/>
    <w:rsid w:val="00BA426D"/>
    <w:rPr>
      <w:rFonts w:ascii="Times New Roman" w:eastAsia="Times New Roman" w:hAnsi="Times New Roman" w:cs="Times New Roman"/>
      <w:sz w:val="20"/>
      <w:szCs w:val="20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BA426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A426D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BA426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A426D"/>
    <w:rPr>
      <w:rFonts w:ascii="Times New Roman" w:eastAsia="Times New Roman" w:hAnsi="Times New Roman" w:cs="Times New Roman"/>
      <w:lang w:val="sk-SK"/>
    </w:rPr>
  </w:style>
  <w:style w:type="character" w:customStyle="1" w:styleId="Nadpis3Char">
    <w:name w:val="Nadpis 3 Char"/>
    <w:basedOn w:val="Predvolenpsmoodseku"/>
    <w:link w:val="Nadpis3"/>
    <w:uiPriority w:val="1"/>
    <w:rsid w:val="005A5B2A"/>
    <w:rPr>
      <w:rFonts w:ascii="Times New Roman" w:eastAsia="Times New Roman" w:hAnsi="Times New Roman" w:cs="Times New Roman"/>
      <w:b/>
      <w:bCs/>
      <w:i/>
      <w:sz w:val="24"/>
      <w:szCs w:val="24"/>
      <w:lang w:val="sk-SK"/>
    </w:rPr>
  </w:style>
  <w:style w:type="paragraph" w:customStyle="1" w:styleId="Biblio-odkaz">
    <w:name w:val="Biblio - odkaz"/>
    <w:basedOn w:val="Normlny"/>
    <w:qFormat/>
    <w:rsid w:val="001522D1"/>
    <w:pPr>
      <w:keepLines/>
      <w:widowControl/>
      <w:autoSpaceDE/>
      <w:autoSpaceDN/>
      <w:spacing w:line="276" w:lineRule="auto"/>
      <w:ind w:left="340" w:hanging="340"/>
    </w:pPr>
    <w:rPr>
      <w:rFonts w:eastAsiaTheme="minorHAnsi" w:cs="Noto Serif"/>
      <w:bCs/>
      <w:color w:val="000000" w:themeColor="text1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1"/>
    <w:rsid w:val="000F6063"/>
    <w:rPr>
      <w:rFonts w:ascii="Times New Roman" w:eastAsia="Times New Roman" w:hAnsi="Times New Roman" w:cs="Times New Roman"/>
      <w:b/>
      <w:bCs/>
      <w:sz w:val="20"/>
      <w:szCs w:val="20"/>
      <w:lang w:val="sk-SK"/>
    </w:rPr>
  </w:style>
  <w:style w:type="paragraph" w:customStyle="1" w:styleId="Default">
    <w:name w:val="Default"/>
    <w:rsid w:val="000F6063"/>
    <w:pPr>
      <w:widowControl/>
      <w:adjustRightInd w:val="0"/>
    </w:pPr>
    <w:rPr>
      <w:rFonts w:ascii="Cambria" w:hAnsi="Cambria" w:cs="Cambria"/>
      <w:color w:val="000000"/>
      <w:sz w:val="24"/>
      <w:szCs w:val="24"/>
      <w:lang w:val="sk-SK"/>
    </w:rPr>
  </w:style>
  <w:style w:type="character" w:customStyle="1" w:styleId="Nadpis4Char">
    <w:name w:val="Nadpis 4 Char"/>
    <w:basedOn w:val="Predvolenpsmoodseku"/>
    <w:link w:val="Nadpis4"/>
    <w:uiPriority w:val="1"/>
    <w:rsid w:val="00DD215A"/>
    <w:rPr>
      <w:rFonts w:ascii="Times New Roman" w:eastAsia="Times New Roman" w:hAnsi="Times New Roman" w:cs="Times New Roman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9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1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8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4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48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8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9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tempaesthetics.org/newvolume/pages/article.php?articleID=675&amp;FN1" TargetMode="External"/><Relationship Id="rId13" Type="http://schemas.openxmlformats.org/officeDocument/2006/relationships/hyperlink" Target="https://digitalcommons.risd.edu/liberalarts_contempaestheti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inedu.sk/8387-sk/statne-vzdelavacie-program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uv.upol.cz/index.php?seo_url=aktualni-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jstor.org/stable/2505142?seq=1&amp;page_scan_tab_content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ktwTiUl_fE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7719D9-E5AE-41C6-A721-6ECF3D73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1789</Words>
  <Characters>10200</Characters>
  <Application>Microsoft Office Word</Application>
  <DocSecurity>0</DocSecurity>
  <Lines>85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Používateľ systému Windows</cp:lastModifiedBy>
  <cp:revision>9</cp:revision>
  <dcterms:created xsi:type="dcterms:W3CDTF">2023-09-11T09:35:00Z</dcterms:created>
  <dcterms:modified xsi:type="dcterms:W3CDTF">2024-09-23T11:04:00Z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2020-08-20T00:00:00Z</vt:filetime>
  </property>
</Properties>
</file>