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C95505">
        <w:trPr>
          <w:trHeight w:val="362"/>
        </w:trPr>
        <w:tc>
          <w:tcPr>
            <w:tcW w:w="4110" w:type="dxa"/>
            <w:vAlign w:val="center"/>
          </w:tcPr>
          <w:p w14:paraId="294E2FE6" w14:textId="77777777" w:rsidR="008A34EB" w:rsidRDefault="005A0E9F" w:rsidP="00584E0B">
            <w:pPr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E6AEB" w:rsidRPr="002E6AEB">
              <w:rPr>
                <w:i/>
                <w:iCs/>
              </w:rPr>
              <w:t>1IUKR/ULDET/22</w:t>
            </w:r>
          </w:p>
          <w:p w14:paraId="358894FB" w14:textId="77777777" w:rsidR="00C95505" w:rsidRDefault="00C95505" w:rsidP="00584E0B">
            <w:pPr>
              <w:jc w:val="both"/>
              <w:rPr>
                <w:i/>
              </w:rPr>
            </w:pPr>
          </w:p>
          <w:p w14:paraId="1A57432C" w14:textId="37904A8B" w:rsidR="00C95505" w:rsidRPr="00584E0B" w:rsidRDefault="00C95505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12" w:type="dxa"/>
            <w:vAlign w:val="center"/>
          </w:tcPr>
          <w:p w14:paraId="43D5039E" w14:textId="77777777" w:rsidR="008A34EB" w:rsidRDefault="005A0E9F" w:rsidP="00584E0B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>Ukrainian</w:t>
            </w:r>
            <w:proofErr w:type="spellEnd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>Literature</w:t>
            </w:r>
            <w:proofErr w:type="spellEnd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>for</w:t>
            </w:r>
            <w:proofErr w:type="spellEnd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>Children</w:t>
            </w:r>
            <w:proofErr w:type="spellEnd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 xml:space="preserve"> and </w:t>
            </w:r>
            <w:proofErr w:type="spellStart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>Youth</w:t>
            </w:r>
            <w:proofErr w:type="spellEnd"/>
            <w:r w:rsidR="002E6AEB" w:rsidRPr="002E6AEB">
              <w:rPr>
                <w:rFonts w:asciiTheme="minorHAnsi" w:hAnsiTheme="minorHAnsi" w:cstheme="minorHAnsi"/>
                <w:bCs/>
                <w:i/>
                <w:iCs/>
              </w:rPr>
              <w:t xml:space="preserve"> (P)</w:t>
            </w:r>
          </w:p>
          <w:p w14:paraId="20B8B665" w14:textId="53C83CE5" w:rsidR="00C95505" w:rsidRPr="00584E0B" w:rsidRDefault="00C95505" w:rsidP="00584E0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4EB" w:rsidRPr="00584E0B" w14:paraId="1541EDD8" w14:textId="77777777" w:rsidTr="00C95505">
        <w:trPr>
          <w:trHeight w:val="771"/>
        </w:trPr>
        <w:tc>
          <w:tcPr>
            <w:tcW w:w="9322" w:type="dxa"/>
            <w:gridSpan w:val="2"/>
            <w:vAlign w:val="center"/>
          </w:tcPr>
          <w:p w14:paraId="5CB40004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FF14070" w14:textId="35809815" w:rsidR="00C95505" w:rsidRPr="00C95505" w:rsidRDefault="002E6AEB" w:rsidP="00C95505">
            <w:pPr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</w:pPr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1 </w:t>
            </w:r>
            <w:proofErr w:type="spellStart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lecture</w:t>
            </w:r>
            <w:proofErr w:type="spellEnd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/ 1 </w:t>
            </w:r>
            <w:proofErr w:type="spellStart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hour</w:t>
            </w:r>
            <w:proofErr w:type="spellEnd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2E6AEB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seminar</w:t>
            </w:r>
            <w:proofErr w:type="spellEnd"/>
          </w:p>
        </w:tc>
      </w:tr>
      <w:tr w:rsidR="008A34EB" w:rsidRPr="00584E0B" w14:paraId="5C14491A" w14:textId="77777777" w:rsidTr="00C95505">
        <w:trPr>
          <w:trHeight w:val="346"/>
        </w:trPr>
        <w:tc>
          <w:tcPr>
            <w:tcW w:w="9322" w:type="dxa"/>
            <w:gridSpan w:val="2"/>
            <w:vAlign w:val="center"/>
          </w:tcPr>
          <w:p w14:paraId="1D4E3357" w14:textId="6917A886" w:rsidR="00C95505" w:rsidRPr="00C95505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2E6AEB">
              <w:rPr>
                <w:rFonts w:asciiTheme="minorHAnsi" w:hAnsiTheme="minorHAnsi" w:cstheme="minorHAnsi"/>
                <w:i/>
              </w:rPr>
              <w:t>3</w:t>
            </w:r>
          </w:p>
        </w:tc>
      </w:tr>
      <w:tr w:rsidR="008A34EB" w:rsidRPr="00584E0B" w14:paraId="291A390A" w14:textId="77777777" w:rsidTr="00C95505">
        <w:trPr>
          <w:trHeight w:val="552"/>
        </w:trPr>
        <w:tc>
          <w:tcPr>
            <w:tcW w:w="9322" w:type="dxa"/>
            <w:gridSpan w:val="2"/>
            <w:vAlign w:val="center"/>
          </w:tcPr>
          <w:p w14:paraId="114542A4" w14:textId="0C4BA0B6" w:rsidR="00C95505" w:rsidRPr="00C95505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E6AEB" w:rsidRPr="002E6AEB">
              <w:rPr>
                <w:rFonts w:asciiTheme="minorHAnsi" w:hAnsiTheme="minorHAnsi" w:cstheme="minorHAnsi"/>
                <w:i/>
                <w:iCs/>
              </w:rPr>
              <w:t>1</w:t>
            </w:r>
            <w:r w:rsidR="002E6AEB" w:rsidRPr="002E6AEB">
              <w:rPr>
                <w:rFonts w:asciiTheme="minorHAnsi" w:hAnsiTheme="minorHAnsi" w:cstheme="minorHAnsi"/>
                <w:i/>
                <w:iCs/>
                <w:vertAlign w:val="superscript"/>
              </w:rPr>
              <w:t>st</w:t>
            </w:r>
            <w:r w:rsidR="002E6AEB" w:rsidRPr="002E6AEB">
              <w:rPr>
                <w:rFonts w:asciiTheme="minorHAnsi" w:hAnsiTheme="minorHAnsi" w:cstheme="minorHAnsi"/>
                <w:i/>
                <w:iCs/>
              </w:rPr>
              <w:t xml:space="preserve"> semester of study</w:t>
            </w:r>
          </w:p>
        </w:tc>
      </w:tr>
      <w:tr w:rsidR="008A34EB" w:rsidRPr="00584E0B" w14:paraId="0C27EB55" w14:textId="77777777" w:rsidTr="00C95505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4880AE71" w:rsidR="00C95505" w:rsidRPr="00584E0B" w:rsidRDefault="005A0E9F" w:rsidP="00596A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2E6AEB" w:rsidRPr="002E6AEB">
              <w:rPr>
                <w:rFonts w:asciiTheme="minorHAnsi" w:hAnsiTheme="minorHAnsi" w:cstheme="minorHAnsi"/>
                <w:b/>
                <w:i/>
                <w:iCs/>
              </w:rPr>
              <w:t>2.</w:t>
            </w:r>
          </w:p>
        </w:tc>
      </w:tr>
      <w:tr w:rsidR="008A34EB" w:rsidRPr="00584E0B" w14:paraId="11C353C3" w14:textId="77777777" w:rsidTr="00C95505">
        <w:trPr>
          <w:trHeight w:val="394"/>
        </w:trPr>
        <w:tc>
          <w:tcPr>
            <w:tcW w:w="9322" w:type="dxa"/>
            <w:gridSpan w:val="2"/>
            <w:vAlign w:val="center"/>
          </w:tcPr>
          <w:p w14:paraId="727BC862" w14:textId="6E593C84" w:rsidR="00C95505" w:rsidRPr="00C95505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C95505">
        <w:trPr>
          <w:trHeight w:val="1205"/>
        </w:trPr>
        <w:tc>
          <w:tcPr>
            <w:tcW w:w="9322" w:type="dxa"/>
            <w:gridSpan w:val="2"/>
            <w:vAlign w:val="center"/>
          </w:tcPr>
          <w:p w14:paraId="6B2EECEE" w14:textId="50BA7CFA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Prerequisites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co-requisites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Assessment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is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given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for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regular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active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participation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seminars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own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interpretations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the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assigned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artistic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text and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presentation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="002E6AEB" w:rsidRPr="002E6AEB">
              <w:rPr>
                <w:rFonts w:asciiTheme="minorHAnsi" w:hAnsiTheme="minorHAnsi" w:cstheme="minorHAnsi"/>
              </w:rPr>
              <w:t>seminars</w:t>
            </w:r>
            <w:proofErr w:type="spellEnd"/>
            <w:r w:rsidR="002E6AEB" w:rsidRPr="002E6AEB">
              <w:rPr>
                <w:rFonts w:asciiTheme="minorHAnsi" w:hAnsiTheme="minorHAnsi" w:cstheme="minorHAnsi"/>
              </w:rPr>
              <w:t>.</w:t>
            </w:r>
          </w:p>
          <w:p w14:paraId="0D711292" w14:textId="2D87D8CD" w:rsidR="00C95505" w:rsidRPr="00584E0B" w:rsidRDefault="002E6AEB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E6AEB">
              <w:rPr>
                <w:rFonts w:asciiTheme="minorHAnsi" w:hAnsiTheme="minorHAnsi" w:cstheme="minorHAnsi"/>
                <w:i/>
              </w:rPr>
              <w:t>Continuous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test and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seminar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/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Continuous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7839ABD9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7829A98" w14:textId="77777777" w:rsidR="002E6AEB" w:rsidRDefault="002E6AEB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DFB7D09" w14:textId="7D77A429" w:rsidR="00CE1DB1" w:rsidRPr="002E6AEB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</w:p>
          <w:p w14:paraId="1418008A" w14:textId="57240CFD" w:rsidR="00CE1DB1" w:rsidRPr="002E6AEB" w:rsidRDefault="002E6AEB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E6AE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gain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youth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>.</w:t>
            </w:r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They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get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acquainted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main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directions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youth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Ukraine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but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also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2E6AEB">
              <w:rPr>
                <w:rFonts w:asciiTheme="minorHAnsi" w:hAnsiTheme="minorHAnsi" w:cstheme="minorHAnsi"/>
                <w:i/>
              </w:rPr>
              <w:t>eastern</w:t>
            </w:r>
            <w:proofErr w:type="spellEnd"/>
            <w:r w:rsidRPr="002E6AEB">
              <w:rPr>
                <w:rFonts w:asciiTheme="minorHAnsi" w:hAnsiTheme="minorHAnsi" w:cstheme="minorHAnsi"/>
                <w:i/>
              </w:rPr>
              <w:t xml:space="preserve"> Slovakia.</w:t>
            </w:r>
          </w:p>
          <w:p w14:paraId="6AE3FF6F" w14:textId="33812BBC" w:rsidR="00CE1DB1" w:rsidRPr="002E6AEB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</w:p>
          <w:p w14:paraId="324DCB0D" w14:textId="5897D7D5" w:rsidR="00CE1DB1" w:rsidRPr="007F403A" w:rsidRDefault="007F403A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F403A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analyze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interpret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texts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young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people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emphasis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child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reader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aspect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>.</w:t>
            </w:r>
            <w:r w:rsidRPr="007F403A">
              <w:rPr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Understands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role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children's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society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connection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between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development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society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changes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thematic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focus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youth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>.</w:t>
            </w:r>
          </w:p>
          <w:p w14:paraId="6D738304" w14:textId="3B046AC7" w:rsidR="00CE1DB1" w:rsidRPr="002E6AEB" w:rsidRDefault="00CE1DB1" w:rsidP="00CE1DB1">
            <w:pPr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2E6AE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2E6AEB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</w:p>
          <w:p w14:paraId="0E8E6191" w14:textId="721B9EC8" w:rsidR="00CE1DB1" w:rsidRPr="00584E0B" w:rsidRDefault="007F403A" w:rsidP="002E6AE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acquired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knowledge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historical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cultural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research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but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especially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pedagogical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practice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387BC942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0C24124" w14:textId="1B1604F7" w:rsidR="007F403A" w:rsidRPr="00584E0B" w:rsidRDefault="007F403A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Characteristics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children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youth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formation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"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literature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"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19th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present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genre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thematic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focus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individual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workshops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LDM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beginnings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formation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early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19th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century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),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most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important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representatives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interwar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period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- Irena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Nevycká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V.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Grendža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-Donsky, M.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Pidhirjanka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and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 1945 - J.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Šelepec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M. Bobák, F.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Lazoryk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 xml:space="preserve">, J. </w:t>
            </w:r>
            <w:proofErr w:type="spellStart"/>
            <w:r w:rsidRPr="007F403A">
              <w:rPr>
                <w:rFonts w:asciiTheme="minorHAnsi" w:hAnsiTheme="minorHAnsi" w:cstheme="minorHAnsi"/>
                <w:i/>
              </w:rPr>
              <w:t>Borolyč</w:t>
            </w:r>
            <w:proofErr w:type="spellEnd"/>
            <w:r w:rsidRPr="007F403A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04389A9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A9075A5" w14:textId="77777777" w:rsidR="007F403A" w:rsidRPr="00102746" w:rsidRDefault="007F403A" w:rsidP="007F403A">
            <w:r w:rsidRPr="00102746">
              <w:t xml:space="preserve">BABOTOVÁ, Ľ., 2000. </w:t>
            </w:r>
            <w:r w:rsidRPr="00102746">
              <w:rPr>
                <w:i/>
              </w:rPr>
              <w:t xml:space="preserve">Detská postava v prózach </w:t>
            </w:r>
            <w:proofErr w:type="spellStart"/>
            <w:r w:rsidRPr="00102746">
              <w:rPr>
                <w:i/>
              </w:rPr>
              <w:t>Iryny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Nevickej</w:t>
            </w:r>
            <w:proofErr w:type="spellEnd"/>
            <w:r w:rsidRPr="00102746">
              <w:rPr>
                <w:i/>
              </w:rPr>
              <w:t xml:space="preserve"> (Dobrodružstvá </w:t>
            </w:r>
            <w:proofErr w:type="spellStart"/>
            <w:r w:rsidRPr="00102746">
              <w:rPr>
                <w:i/>
              </w:rPr>
              <w:t>Matija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Kukolku</w:t>
            </w:r>
            <w:proofErr w:type="spellEnd"/>
            <w:r w:rsidRPr="00102746">
              <w:rPr>
                <w:i/>
              </w:rPr>
              <w:t xml:space="preserve"> – </w:t>
            </w:r>
            <w:proofErr w:type="spellStart"/>
            <w:r w:rsidRPr="00102746">
              <w:rPr>
                <w:i/>
              </w:rPr>
              <w:t>Pryhody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Matija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Kukolky</w:t>
            </w:r>
            <w:proofErr w:type="spellEnd"/>
            <w:r w:rsidRPr="00102746">
              <w:rPr>
                <w:i/>
              </w:rPr>
              <w:t>).</w:t>
            </w:r>
            <w:r w:rsidRPr="00102746">
              <w:t xml:space="preserve"> In: </w:t>
            </w:r>
            <w:proofErr w:type="spellStart"/>
            <w:r w:rsidRPr="00102746">
              <w:t>Vnútrotextové</w:t>
            </w:r>
            <w:proofErr w:type="spellEnd"/>
            <w:r w:rsidRPr="00102746">
              <w:t xml:space="preserve"> priestory textu v literatúre pre deti a mládež. Zborník materiálov z vedeckej konferencie s medzinárodnou účasťou, ktorá sa konala 18.-20. 10. 2000 v Prešove. </w:t>
            </w:r>
            <w:proofErr w:type="spellStart"/>
            <w:r w:rsidRPr="00102746">
              <w:t>Ved</w:t>
            </w:r>
            <w:proofErr w:type="spellEnd"/>
            <w:r w:rsidRPr="00102746">
              <w:t xml:space="preserve">. </w:t>
            </w:r>
            <w:proofErr w:type="spellStart"/>
            <w:r w:rsidRPr="00102746">
              <w:t>red</w:t>
            </w:r>
            <w:proofErr w:type="spellEnd"/>
            <w:r w:rsidRPr="00102746">
              <w:t xml:space="preserve">. Z. Stanislavova a V. </w:t>
            </w:r>
            <w:proofErr w:type="spellStart"/>
            <w:r w:rsidRPr="00102746">
              <w:t>Žemberová</w:t>
            </w:r>
            <w:proofErr w:type="spellEnd"/>
            <w:r w:rsidRPr="00102746">
              <w:t>. Prešov. s. 121 – 125.</w:t>
            </w:r>
            <w:r w:rsidRPr="00102746">
              <w:br/>
            </w:r>
            <w:r w:rsidRPr="00102746">
              <w:lastRenderedPageBreak/>
              <w:t xml:space="preserve">BABOTA, Ľ., 2001. </w:t>
            </w:r>
            <w:proofErr w:type="spellStart"/>
            <w:r w:rsidRPr="00102746">
              <w:rPr>
                <w:i/>
              </w:rPr>
              <w:t>Dyťača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literatura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rusyniv-ukrajinciv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Slovaččyny</w:t>
            </w:r>
            <w:proofErr w:type="spellEnd"/>
            <w:r w:rsidRPr="00102746">
              <w:rPr>
                <w:i/>
              </w:rPr>
              <w:t xml:space="preserve"> </w:t>
            </w:r>
            <w:proofErr w:type="spellStart"/>
            <w:r w:rsidRPr="00102746">
              <w:rPr>
                <w:i/>
              </w:rPr>
              <w:t>pisľa</w:t>
            </w:r>
            <w:proofErr w:type="spellEnd"/>
            <w:r w:rsidRPr="00102746">
              <w:rPr>
                <w:i/>
              </w:rPr>
              <w:t xml:space="preserve"> 1945 roku.</w:t>
            </w:r>
            <w:r w:rsidRPr="00102746">
              <w:t xml:space="preserve"> In: Vedecký zborník Múzea ukrajinsko-rusínskej kultúry vo Svidníku. </w:t>
            </w:r>
            <w:proofErr w:type="spellStart"/>
            <w:r w:rsidRPr="00102746">
              <w:t>Red</w:t>
            </w:r>
            <w:proofErr w:type="spellEnd"/>
            <w:r w:rsidRPr="00102746">
              <w:t xml:space="preserve">. M. </w:t>
            </w:r>
            <w:proofErr w:type="spellStart"/>
            <w:r w:rsidRPr="00102746">
              <w:t>Sopoliga</w:t>
            </w:r>
            <w:proofErr w:type="spellEnd"/>
            <w:r w:rsidRPr="00102746">
              <w:t>. Zv. 22. Prešov. s. 398-405.</w:t>
            </w:r>
          </w:p>
          <w:p w14:paraId="62FDF10A" w14:textId="77777777" w:rsidR="007F403A" w:rsidRPr="00102746" w:rsidRDefault="007F403A" w:rsidP="007F403A">
            <w:r w:rsidRPr="00102746">
              <w:t xml:space="preserve">BABOTOVÁ, Ľ., 2000. </w:t>
            </w:r>
            <w:r w:rsidRPr="00102746">
              <w:rPr>
                <w:i/>
              </w:rPr>
              <w:t xml:space="preserve">Literárnohistorický priestor detskej literatúry </w:t>
            </w:r>
            <w:proofErr w:type="spellStart"/>
            <w:r w:rsidRPr="00102746">
              <w:rPr>
                <w:i/>
              </w:rPr>
              <w:t>Rusínov</w:t>
            </w:r>
            <w:proofErr w:type="spellEnd"/>
            <w:r w:rsidRPr="00102746">
              <w:rPr>
                <w:i/>
              </w:rPr>
              <w:t>-Ukrajincov na Slovensku</w:t>
            </w:r>
            <w:r w:rsidRPr="00102746">
              <w:t xml:space="preserve">. In: </w:t>
            </w:r>
            <w:proofErr w:type="spellStart"/>
            <w:r w:rsidRPr="00102746">
              <w:t>Studia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Philologica</w:t>
            </w:r>
            <w:proofErr w:type="spellEnd"/>
            <w:r w:rsidRPr="00102746">
              <w:t xml:space="preserve">. </w:t>
            </w:r>
            <w:proofErr w:type="spellStart"/>
            <w:r w:rsidRPr="00102746">
              <w:t>Annus</w:t>
            </w:r>
            <w:proofErr w:type="spellEnd"/>
            <w:r w:rsidRPr="00102746">
              <w:t xml:space="preserve"> VI (</w:t>
            </w:r>
            <w:proofErr w:type="spellStart"/>
            <w:r w:rsidRPr="00102746">
              <w:t>Acta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Facultatis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Studiorum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Humanitatis</w:t>
            </w:r>
            <w:proofErr w:type="spellEnd"/>
            <w:r w:rsidRPr="00102746">
              <w:t xml:space="preserve"> et </w:t>
            </w:r>
            <w:proofErr w:type="spellStart"/>
            <w:r w:rsidRPr="00102746">
              <w:t>nature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Universitas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Presoviensis</w:t>
            </w:r>
            <w:proofErr w:type="spellEnd"/>
            <w:r w:rsidRPr="00102746">
              <w:t xml:space="preserve">). </w:t>
            </w:r>
            <w:proofErr w:type="spellStart"/>
            <w:r w:rsidRPr="00102746">
              <w:t>Red</w:t>
            </w:r>
            <w:proofErr w:type="spellEnd"/>
            <w:r w:rsidRPr="00102746">
              <w:t xml:space="preserve">. F. </w:t>
            </w:r>
            <w:proofErr w:type="spellStart"/>
            <w:r w:rsidRPr="00102746">
              <w:t>Ruščák</w:t>
            </w:r>
            <w:proofErr w:type="spellEnd"/>
            <w:r w:rsidRPr="00102746">
              <w:t>. Prešov. s. 114-120.</w:t>
            </w:r>
            <w:r w:rsidRPr="00102746">
              <w:br/>
              <w:t xml:space="preserve">BABOTOVÁ, Ľ., 2000. </w:t>
            </w:r>
            <w:r w:rsidRPr="00102746">
              <w:rPr>
                <w:i/>
              </w:rPr>
              <w:t xml:space="preserve">Vývinový pohľad na detskú literatúru </w:t>
            </w:r>
            <w:proofErr w:type="spellStart"/>
            <w:r w:rsidRPr="00102746">
              <w:rPr>
                <w:i/>
              </w:rPr>
              <w:t>Rusínov</w:t>
            </w:r>
            <w:proofErr w:type="spellEnd"/>
            <w:r w:rsidRPr="00102746">
              <w:rPr>
                <w:i/>
              </w:rPr>
              <w:t>-Ukrajincov na Slovensku</w:t>
            </w:r>
            <w:r w:rsidRPr="00102746">
              <w:t>. In: Vývinové a druhové zákonitosti literatúry v literatúre. (Národný a nadnárodný kontext v literatúre pre deti a mládež). Zborník materiálov z vedeckej konferencie s medzinárodnou účasťou, ktorá sa konala 7.-8. októbra 1999 v Prešove. Prešov. s. 127-136.</w:t>
            </w:r>
          </w:p>
          <w:p w14:paraId="21D5399D" w14:textId="4314EC04" w:rsidR="007F403A" w:rsidRPr="00584E0B" w:rsidRDefault="007F403A" w:rsidP="007F403A">
            <w:pPr>
              <w:jc w:val="both"/>
              <w:rPr>
                <w:rFonts w:asciiTheme="minorHAnsi" w:hAnsiTheme="minorHAnsi" w:cstheme="minorHAnsi"/>
              </w:rPr>
            </w:pPr>
            <w:r w:rsidRPr="00102746">
              <w:t xml:space="preserve">KAČAK, T. 2016. </w:t>
            </w:r>
            <w:proofErr w:type="spellStart"/>
            <w:r w:rsidRPr="00102746">
              <w:t>Ukrajinska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literatura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dľa</w:t>
            </w:r>
            <w:proofErr w:type="spellEnd"/>
            <w:r w:rsidRPr="00102746">
              <w:t xml:space="preserve"> </w:t>
            </w:r>
            <w:proofErr w:type="spellStart"/>
            <w:r w:rsidRPr="00102746">
              <w:t>ditej</w:t>
            </w:r>
            <w:proofErr w:type="spellEnd"/>
            <w:r w:rsidRPr="00102746">
              <w:t xml:space="preserve"> ta </w:t>
            </w:r>
            <w:proofErr w:type="spellStart"/>
            <w:r w:rsidRPr="00102746">
              <w:t>junactva</w:t>
            </w:r>
            <w:proofErr w:type="spellEnd"/>
            <w:r w:rsidRPr="00102746">
              <w:t>. Kyjev: VC „</w:t>
            </w:r>
            <w:proofErr w:type="spellStart"/>
            <w:r w:rsidRPr="00102746">
              <w:t>Akademija</w:t>
            </w:r>
            <w:proofErr w:type="spellEnd"/>
            <w:r w:rsidRPr="00102746">
              <w:t>“. ISBN 978-966-580-478-9.</w:t>
            </w:r>
          </w:p>
        </w:tc>
      </w:tr>
      <w:tr w:rsidR="008A34EB" w:rsidRPr="00584E0B" w14:paraId="3D8727BF" w14:textId="77777777" w:rsidTr="00C95505">
        <w:trPr>
          <w:trHeight w:val="670"/>
        </w:trPr>
        <w:tc>
          <w:tcPr>
            <w:tcW w:w="9322" w:type="dxa"/>
            <w:gridSpan w:val="2"/>
            <w:vAlign w:val="center"/>
          </w:tcPr>
          <w:p w14:paraId="1B3D67CB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34F5867A" w:rsidR="00C95505" w:rsidRPr="00C95505" w:rsidRDefault="007F403A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</w:tr>
      <w:tr w:rsidR="008A34EB" w:rsidRPr="00584E0B" w14:paraId="4DD79B57" w14:textId="77777777" w:rsidTr="00C95505">
        <w:trPr>
          <w:trHeight w:val="410"/>
        </w:trPr>
        <w:tc>
          <w:tcPr>
            <w:tcW w:w="9322" w:type="dxa"/>
            <w:gridSpan w:val="2"/>
            <w:vAlign w:val="center"/>
          </w:tcPr>
          <w:p w14:paraId="050C8F06" w14:textId="422C8F36" w:rsidR="00C95505" w:rsidRPr="00C95505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C95505">
        <w:trPr>
          <w:trHeight w:val="78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0924E0A8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7F403A" w:rsidRPr="007F403A">
              <w:rPr>
                <w:rFonts w:asciiTheme="minorHAnsi" w:hAnsiTheme="minorHAnsi" w:cstheme="minorHAnsi"/>
                <w:i/>
                <w:iCs/>
              </w:rPr>
              <w:t>22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7F403A">
              <w:trPr>
                <w:trHeight w:val="232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28719BC2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55%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4444D3DE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23%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5ED5DCD2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7560130C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36DF4619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6C7BEDF4" w:rsidR="008A34EB" w:rsidRPr="007F403A" w:rsidRDefault="007F403A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7F403A">
                    <w:rPr>
                      <w:rFonts w:asciiTheme="minorHAnsi" w:hAnsiTheme="minorHAnsi" w:cstheme="minorHAnsi"/>
                      <w:i/>
                      <w:iCs/>
                    </w:rPr>
                    <w:t>9</w:t>
                  </w:r>
                  <w:r w:rsidR="00B85084">
                    <w:rPr>
                      <w:rFonts w:asciiTheme="minorHAnsi" w:hAnsiTheme="minorHAnsi" w:cstheme="minorHAnsi"/>
                      <w:i/>
                      <w:iCs/>
                    </w:rPr>
                    <w:t>%</w:t>
                  </w:r>
                </w:p>
              </w:tc>
            </w:tr>
          </w:tbl>
          <w:p w14:paraId="0979F6C3" w14:textId="505FAD25" w:rsidR="00C95505" w:rsidRPr="00584E0B" w:rsidRDefault="00C95505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C95505">
        <w:trPr>
          <w:trHeight w:val="334"/>
        </w:trPr>
        <w:tc>
          <w:tcPr>
            <w:tcW w:w="9322" w:type="dxa"/>
            <w:gridSpan w:val="2"/>
            <w:vAlign w:val="center"/>
          </w:tcPr>
          <w:p w14:paraId="38EF6943" w14:textId="544A8A3D" w:rsidR="00C95505" w:rsidRPr="00C95505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7F403A">
              <w:rPr>
                <w:rFonts w:asciiTheme="minorHAnsi" w:hAnsiTheme="minorHAnsi" w:cstheme="minorHAnsi"/>
                <w:b/>
              </w:rPr>
              <w:t xml:space="preserve"> </w:t>
            </w:r>
            <w:r w:rsidR="007F403A" w:rsidRPr="007F403A">
              <w:rPr>
                <w:i/>
                <w:iCs/>
                <w:color w:val="000000" w:themeColor="text1"/>
              </w:rPr>
              <w:t>P</w:t>
            </w:r>
            <w:r w:rsidR="007F403A" w:rsidRPr="007F403A">
              <w:rPr>
                <w:i/>
                <w:iCs/>
                <w:color w:val="000000" w:themeColor="text1"/>
              </w:rPr>
              <w:t>rof. PhDr. Mária Čižmárová, CSc. ,</w:t>
            </w:r>
            <w:r w:rsidR="007F403A" w:rsidRPr="007F403A">
              <w:rPr>
                <w:i/>
                <w:iCs/>
                <w:color w:val="000000" w:themeColor="text1"/>
                <w:shd w:val="clear" w:color="auto" w:fill="FFFFFF"/>
              </w:rPr>
              <w:t xml:space="preserve">Mgr. Veronika </w:t>
            </w:r>
            <w:proofErr w:type="spellStart"/>
            <w:r w:rsidR="007F403A" w:rsidRPr="007F403A">
              <w:rPr>
                <w:i/>
                <w:iCs/>
                <w:color w:val="000000" w:themeColor="text1"/>
                <w:shd w:val="clear" w:color="auto" w:fill="FFFFFF"/>
              </w:rPr>
              <w:t>Dadajová</w:t>
            </w:r>
            <w:proofErr w:type="spellEnd"/>
            <w:r w:rsidR="007F403A" w:rsidRPr="007F403A">
              <w:rPr>
                <w:i/>
                <w:iCs/>
                <w:color w:val="000000" w:themeColor="text1"/>
                <w:shd w:val="clear" w:color="auto" w:fill="FFFFFF"/>
              </w:rPr>
              <w:t>, PhD.</w:t>
            </w:r>
          </w:p>
        </w:tc>
      </w:tr>
      <w:tr w:rsidR="008A34EB" w:rsidRPr="00584E0B" w14:paraId="460D964F" w14:textId="77777777" w:rsidTr="00C95505">
        <w:trPr>
          <w:trHeight w:val="358"/>
        </w:trPr>
        <w:tc>
          <w:tcPr>
            <w:tcW w:w="9322" w:type="dxa"/>
            <w:gridSpan w:val="2"/>
            <w:vAlign w:val="center"/>
          </w:tcPr>
          <w:p w14:paraId="20D27CE1" w14:textId="0E838AE9" w:rsidR="00C95505" w:rsidRPr="00C95505" w:rsidRDefault="005A0E9F" w:rsidP="00584E0B">
            <w:pPr>
              <w:tabs>
                <w:tab w:val="left" w:pos="1530"/>
              </w:tabs>
              <w:jc w:val="both"/>
              <w:rPr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F403A" w:rsidRPr="007F403A">
              <w:rPr>
                <w:i/>
                <w:iCs/>
              </w:rPr>
              <w:t>31.1.2022</w:t>
            </w:r>
          </w:p>
        </w:tc>
      </w:tr>
      <w:tr w:rsidR="008A34EB" w:rsidRPr="00584E0B" w14:paraId="10996AB0" w14:textId="77777777" w:rsidTr="00C95505">
        <w:trPr>
          <w:trHeight w:val="398"/>
        </w:trPr>
        <w:tc>
          <w:tcPr>
            <w:tcW w:w="9322" w:type="dxa"/>
            <w:gridSpan w:val="2"/>
            <w:vAlign w:val="center"/>
          </w:tcPr>
          <w:p w14:paraId="124C34FC" w14:textId="29A66368" w:rsidR="00C95505" w:rsidRPr="00C95505" w:rsidRDefault="005A0E9F" w:rsidP="00A56373">
            <w:pPr>
              <w:tabs>
                <w:tab w:val="left" w:pos="1530"/>
              </w:tabs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7F403A" w:rsidRPr="007F403A">
              <w:rPr>
                <w:i/>
                <w:iCs/>
                <w:color w:val="000000" w:themeColor="text1"/>
              </w:rPr>
              <w:t>P</w:t>
            </w:r>
            <w:r w:rsidR="007F403A" w:rsidRPr="007F403A">
              <w:rPr>
                <w:i/>
                <w:iCs/>
                <w:color w:val="000000" w:themeColor="text1"/>
                <w:shd w:val="clear" w:color="auto" w:fill="FFFFFF"/>
              </w:rPr>
              <w:t>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4861" w14:textId="77777777" w:rsidR="00507F06" w:rsidRDefault="00507F06" w:rsidP="00524AED">
      <w:r>
        <w:separator/>
      </w:r>
    </w:p>
  </w:endnote>
  <w:endnote w:type="continuationSeparator" w:id="0">
    <w:p w14:paraId="25E1D97B" w14:textId="77777777" w:rsidR="00507F06" w:rsidRDefault="00507F06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B25E" w14:textId="77777777" w:rsidR="00507F06" w:rsidRDefault="00507F06" w:rsidP="00524AED">
      <w:r>
        <w:separator/>
      </w:r>
    </w:p>
  </w:footnote>
  <w:footnote w:type="continuationSeparator" w:id="0">
    <w:p w14:paraId="00108EC7" w14:textId="77777777" w:rsidR="00507F06" w:rsidRDefault="00507F06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225921"/>
    <w:rsid w:val="00233655"/>
    <w:rsid w:val="00234395"/>
    <w:rsid w:val="002A5BF1"/>
    <w:rsid w:val="002E6AEB"/>
    <w:rsid w:val="003122C8"/>
    <w:rsid w:val="00376102"/>
    <w:rsid w:val="003C0EA9"/>
    <w:rsid w:val="003D218D"/>
    <w:rsid w:val="003F438A"/>
    <w:rsid w:val="004A2C0C"/>
    <w:rsid w:val="00507F06"/>
    <w:rsid w:val="00524AED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7F403A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85084"/>
    <w:rsid w:val="00BB7400"/>
    <w:rsid w:val="00BE2642"/>
    <w:rsid w:val="00C95505"/>
    <w:rsid w:val="00CE1DB1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A9DDE-2EDD-403E-BD22-E4DFE1F9F12B}"/>
</file>

<file path=customXml/itemProps4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