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EA5317">
        <w:trPr>
          <w:trHeight w:val="504"/>
        </w:trPr>
        <w:tc>
          <w:tcPr>
            <w:tcW w:w="4110" w:type="dxa"/>
            <w:vAlign w:val="center"/>
          </w:tcPr>
          <w:p w14:paraId="1A57432C" w14:textId="7FC70152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926B3E" w:rsidRPr="00926B3E">
              <w:rPr>
                <w:i/>
                <w:iCs/>
              </w:rPr>
              <w:t>1IUKR/UPMVYU/22</w:t>
            </w:r>
          </w:p>
        </w:tc>
        <w:tc>
          <w:tcPr>
            <w:tcW w:w="5212" w:type="dxa"/>
            <w:vAlign w:val="center"/>
          </w:tcPr>
          <w:p w14:paraId="20B8B665" w14:textId="22359074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>Practical</w:t>
            </w:r>
            <w:proofErr w:type="spellEnd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>methodology</w:t>
            </w:r>
            <w:proofErr w:type="spellEnd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>foreign</w:t>
            </w:r>
            <w:proofErr w:type="spellEnd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>language</w:t>
            </w:r>
            <w:proofErr w:type="spellEnd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>teaching</w:t>
            </w:r>
            <w:proofErr w:type="spellEnd"/>
            <w:r w:rsidR="00926B3E" w:rsidRPr="00926B3E">
              <w:rPr>
                <w:rFonts w:asciiTheme="minorHAnsi" w:hAnsiTheme="minorHAnsi" w:cstheme="minorHAnsi"/>
                <w:bCs/>
                <w:i/>
                <w:iCs/>
              </w:rPr>
              <w:t xml:space="preserve"> (PV)</w:t>
            </w:r>
          </w:p>
        </w:tc>
      </w:tr>
      <w:tr w:rsidR="008A34EB" w:rsidRPr="00584E0B" w14:paraId="1541EDD8" w14:textId="77777777" w:rsidTr="00EA5317">
        <w:trPr>
          <w:trHeight w:val="629"/>
        </w:trPr>
        <w:tc>
          <w:tcPr>
            <w:tcW w:w="9322" w:type="dxa"/>
            <w:gridSpan w:val="2"/>
            <w:vAlign w:val="center"/>
          </w:tcPr>
          <w:p w14:paraId="466E0EF6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FF14070" w14:textId="293BD88D" w:rsidR="00EA5317" w:rsidRPr="00926B3E" w:rsidRDefault="00926B3E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26B3E"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proofErr w:type="spellStart"/>
            <w:r w:rsidRPr="00926B3E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Pr="00926B3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26B3E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Pr="00926B3E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5C14491A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1D4E3357" w14:textId="789098BB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926B3E">
              <w:rPr>
                <w:rFonts w:asciiTheme="minorHAnsi" w:hAnsiTheme="minorHAnsi" w:cstheme="minorHAnsi"/>
                <w:i/>
              </w:rPr>
              <w:t>2</w:t>
            </w:r>
          </w:p>
        </w:tc>
      </w:tr>
      <w:tr w:rsidR="008A34EB" w:rsidRPr="00584E0B" w14:paraId="291A390A" w14:textId="77777777" w:rsidTr="00EA5317">
        <w:trPr>
          <w:trHeight w:val="410"/>
        </w:trPr>
        <w:tc>
          <w:tcPr>
            <w:tcW w:w="9322" w:type="dxa"/>
            <w:gridSpan w:val="2"/>
            <w:vAlign w:val="center"/>
          </w:tcPr>
          <w:p w14:paraId="114542A4" w14:textId="575A099E" w:rsidR="00EA5317" w:rsidRPr="00EA5317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0F2679" w:rsidRPr="000F2679">
              <w:rPr>
                <w:rFonts w:asciiTheme="minorHAnsi" w:hAnsiTheme="minorHAnsi" w:cstheme="minorHAnsi"/>
                <w:i/>
                <w:iCs/>
              </w:rPr>
              <w:t>2</w:t>
            </w:r>
            <w:r w:rsidR="000F2679" w:rsidRPr="000F2679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="000F2679" w:rsidRPr="000F2679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EA5317">
        <w:trPr>
          <w:trHeight w:val="260"/>
        </w:trPr>
        <w:tc>
          <w:tcPr>
            <w:tcW w:w="9322" w:type="dxa"/>
            <w:gridSpan w:val="2"/>
            <w:vAlign w:val="center"/>
          </w:tcPr>
          <w:p w14:paraId="357CB491" w14:textId="2BCD9FFF" w:rsidR="00EA5317" w:rsidRPr="00EA5317" w:rsidRDefault="005A0E9F" w:rsidP="00596A27">
            <w:pPr>
              <w:jc w:val="both"/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0F2679" w:rsidRPr="000F2679">
              <w:rPr>
                <w:rFonts w:asciiTheme="minorHAnsi" w:hAnsiTheme="minorHAnsi" w:cstheme="minorHAnsi"/>
                <w:b/>
                <w:i/>
                <w:iCs/>
              </w:rPr>
              <w:t>2</w:t>
            </w:r>
          </w:p>
        </w:tc>
      </w:tr>
      <w:tr w:rsidR="008A34EB" w:rsidRPr="00584E0B" w14:paraId="11C353C3" w14:textId="77777777" w:rsidTr="00EA5317">
        <w:trPr>
          <w:trHeight w:val="394"/>
        </w:trPr>
        <w:tc>
          <w:tcPr>
            <w:tcW w:w="9322" w:type="dxa"/>
            <w:gridSpan w:val="2"/>
            <w:vAlign w:val="center"/>
          </w:tcPr>
          <w:p w14:paraId="727BC862" w14:textId="39494920" w:rsidR="00EA5317" w:rsidRPr="00EA5317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EA5317">
        <w:trPr>
          <w:trHeight w:val="871"/>
        </w:trPr>
        <w:tc>
          <w:tcPr>
            <w:tcW w:w="9322" w:type="dxa"/>
            <w:gridSpan w:val="2"/>
            <w:vAlign w:val="center"/>
          </w:tcPr>
          <w:p w14:paraId="6E541F37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D711292" w14:textId="64733E13" w:rsidR="00EA5317" w:rsidRPr="00584E0B" w:rsidRDefault="000F2679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0F267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completed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evaluated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credit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0F2679">
              <w:rPr>
                <w:rFonts w:asciiTheme="minorHAnsi" w:hAnsiTheme="minorHAnsi" w:cstheme="minorHAnsi"/>
                <w:i/>
              </w:rPr>
              <w:t xml:space="preserve">Credit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conditional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participation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seminars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successful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completion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F2679">
              <w:rPr>
                <w:rFonts w:asciiTheme="minorHAnsi" w:hAnsiTheme="minorHAnsi" w:cstheme="minorHAnsi"/>
                <w:i/>
              </w:rPr>
              <w:t>credit</w:t>
            </w:r>
            <w:proofErr w:type="spellEnd"/>
            <w:r w:rsidRPr="000F2679">
              <w:rPr>
                <w:rFonts w:asciiTheme="minorHAnsi" w:hAnsiTheme="minorHAnsi" w:cstheme="minorHAnsi"/>
                <w:i/>
              </w:rPr>
              <w:t xml:space="preserve"> test.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6A356C0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F8534F2" w14:textId="12A017B3" w:rsidR="00CE1DB1" w:rsidRDefault="009C7D50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T</w:t>
            </w:r>
            <w:r w:rsidRPr="009C7D50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can:</w:t>
            </w:r>
          </w:p>
          <w:p w14:paraId="0DFB7D09" w14:textId="22B9E27B" w:rsidR="00CE1DB1" w:rsidRPr="009C7D50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C7D5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C7D5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4A0E7A0A" w:rsidR="00CE1DB1" w:rsidRPr="002F69CA" w:rsidRDefault="009C7D50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acquire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expand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foreign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enriches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terminological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apparatus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memorizes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necessary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definitions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learn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methodology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as a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foreign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9C7D50">
              <w:rPr>
                <w:rFonts w:asciiTheme="minorHAnsi" w:hAnsiTheme="minorHAnsi" w:cstheme="minorHAnsi"/>
                <w:i/>
              </w:rPr>
              <w:t>.</w:t>
            </w:r>
            <w:r w:rsidR="002F69CA">
              <w:rPr>
                <w:rFonts w:asciiTheme="minorHAnsi" w:hAnsiTheme="minorHAnsi" w:cstheme="minorHAnsi"/>
                <w:i/>
              </w:rPr>
              <w:t xml:space="preserve"> </w:t>
            </w:r>
            <w:r w:rsidR="002F69CA" w:rsidRPr="002F69CA">
              <w:rPr>
                <w:rFonts w:asciiTheme="minorHAnsi" w:hAnsiTheme="minorHAnsi" w:cstheme="minorHAnsi"/>
                <w:i/>
              </w:rPr>
              <w:t xml:space="preserve">He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possibilities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using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media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foreign</w:t>
            </w:r>
            <w:proofErr w:type="spellEnd"/>
            <w:r w:rsidR="002F69CA"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F69CA" w:rsidRPr="002F69CA">
              <w:rPr>
                <w:rFonts w:asciiTheme="minorHAnsi" w:hAnsiTheme="minorHAnsi" w:cstheme="minorHAnsi"/>
                <w:i/>
              </w:rPr>
              <w:t>languages</w:t>
            </w:r>
            <w:proofErr w:type="spellEnd"/>
            <w:r w:rsidR="002F69CA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68C7A460" w:rsidR="00CE1DB1" w:rsidRPr="009C7D50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C7D5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C7D5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1CE5AAC7" w:rsidR="00CE1DB1" w:rsidRPr="002F69CA" w:rsidRDefault="002F69CA" w:rsidP="00584E0B">
            <w:pPr>
              <w:jc w:val="both"/>
              <w:rPr>
                <w:i/>
                <w:iCs/>
                <w:color w:val="000000" w:themeColor="text1"/>
                <w:lang w:eastAsia="ru-RU"/>
              </w:rPr>
            </w:pP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terminology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of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discipline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during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solution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of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assignments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describe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basic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linguistic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disciplines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their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units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demonstrate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their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explain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nature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of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acquired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phenomena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relationships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between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them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reproduce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acquired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of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language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classification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identify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Slavic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languages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used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text.</w:t>
            </w:r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able</w:t>
            </w:r>
            <w:proofErr w:type="spellEnd"/>
            <w:r w:rsidRPr="002F69CA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 </w:t>
            </w:r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to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apply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terminology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publishing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presentation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activities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scientific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communication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on a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domestic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international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scale</w:t>
            </w:r>
            <w:proofErr w:type="spellEnd"/>
            <w:r w:rsidRPr="002F69C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  <w:p w14:paraId="6D738304" w14:textId="38F9F8B9" w:rsidR="00CE1DB1" w:rsidRPr="009C7D50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9C7D50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9C7D50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9C7D50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60F4F379" w:rsidR="00CE1DB1" w:rsidRPr="00584E0B" w:rsidRDefault="002F69C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F69CA">
              <w:rPr>
                <w:rFonts w:asciiTheme="minorHAnsi" w:hAnsiTheme="minorHAnsi" w:cstheme="minorHAnsi"/>
                <w:i/>
              </w:rPr>
              <w:t>​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search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analyse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different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sources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in a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foreign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exchange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texts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F69CA">
              <w:rPr>
                <w:rFonts w:asciiTheme="minorHAnsi" w:hAnsiTheme="minorHAnsi" w:cstheme="minorHAnsi"/>
                <w:i/>
              </w:rPr>
              <w:t>genres</w:t>
            </w:r>
            <w:proofErr w:type="spellEnd"/>
            <w:r w:rsidRPr="002F69CA">
              <w:rPr>
                <w:rFonts w:asciiTheme="minorHAnsi" w:hAnsiTheme="minorHAnsi" w:cstheme="minorHAnsi"/>
                <w:i/>
              </w:rPr>
              <w:t>.</w:t>
            </w:r>
            <w:r w:rsidR="00312B77"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present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publicly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using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appropriate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linguistic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2B77" w:rsidRPr="00312B77">
              <w:rPr>
                <w:rFonts w:asciiTheme="minorHAnsi" w:hAnsiTheme="minorHAnsi" w:cstheme="minorHAnsi"/>
                <w:i/>
              </w:rPr>
              <w:t>terminology</w:t>
            </w:r>
            <w:proofErr w:type="spellEnd"/>
            <w:r w:rsidR="00312B77" w:rsidRPr="00312B77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238947F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0C24124" w14:textId="419999EA" w:rsidR="00312B77" w:rsidRPr="00584E0B" w:rsidRDefault="00312B77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12B77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2B77">
              <w:rPr>
                <w:rFonts w:asciiTheme="minorHAnsi" w:hAnsiTheme="minorHAnsi" w:cstheme="minorHAnsi"/>
                <w:i/>
              </w:rPr>
              <w:t>principles</w:t>
            </w:r>
            <w:proofErr w:type="spellEnd"/>
            <w:r w:rsidRPr="00312B7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12B77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2B7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2B77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312B7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2B77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312B77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C14BAE9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25333CC" w14:textId="77777777" w:rsidR="00312B77" w:rsidRPr="00A1191B" w:rsidRDefault="00312B77" w:rsidP="00312B77">
            <w:pPr>
              <w:jc w:val="both"/>
            </w:pPr>
            <w:r>
              <w:t xml:space="preserve">BELEY, O., 2006. </w:t>
            </w:r>
            <w:proofErr w:type="spellStart"/>
            <w:r>
              <w:rPr>
                <w:i/>
              </w:rPr>
              <w:t>Rozmovľajete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ukrajinskoju</w:t>
            </w:r>
            <w:proofErr w:type="spellEnd"/>
            <w:r>
              <w:rPr>
                <w:i/>
              </w:rPr>
              <w:t xml:space="preserve">?: </w:t>
            </w:r>
            <w:proofErr w:type="spellStart"/>
            <w:r>
              <w:rPr>
                <w:i/>
              </w:rPr>
              <w:t>pidručnyk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t>Wrocław</w:t>
            </w:r>
            <w:proofErr w:type="spellEnd"/>
            <w:r>
              <w:t xml:space="preserve">: </w:t>
            </w:r>
            <w:proofErr w:type="spellStart"/>
            <w:r w:rsidRPr="00A1191B">
              <w:t>Wydawn</w:t>
            </w:r>
            <w:proofErr w:type="spellEnd"/>
            <w:r w:rsidRPr="00A1191B">
              <w:t xml:space="preserve">. </w:t>
            </w:r>
            <w:proofErr w:type="spellStart"/>
            <w:r w:rsidRPr="00A1191B">
              <w:t>Uniw</w:t>
            </w:r>
            <w:proofErr w:type="spellEnd"/>
            <w:r w:rsidRPr="00A1191B">
              <w:t xml:space="preserve">. </w:t>
            </w:r>
            <w:proofErr w:type="spellStart"/>
            <w:r w:rsidRPr="00A1191B">
              <w:t>Wrocławskiego</w:t>
            </w:r>
            <w:proofErr w:type="spellEnd"/>
            <w:r>
              <w:t xml:space="preserve">. </w:t>
            </w:r>
          </w:p>
          <w:p w14:paraId="1CF6CC1A" w14:textId="77777777" w:rsidR="00312B77" w:rsidRDefault="00312B77" w:rsidP="00312B77">
            <w:pPr>
              <w:jc w:val="both"/>
            </w:pPr>
            <w:r>
              <w:t xml:space="preserve">ČIŽMÁROVÁ, M., 2006. </w:t>
            </w:r>
            <w:r w:rsidRPr="0025369C">
              <w:rPr>
                <w:i/>
              </w:rPr>
              <w:t>Námety na maturitné zadania z ukrajinského jazyka a literatúry</w:t>
            </w:r>
            <w:r>
              <w:t xml:space="preserve">. Prešov: </w:t>
            </w:r>
            <w:proofErr w:type="spellStart"/>
            <w:r>
              <w:t>Metodicko</w:t>
            </w:r>
            <w:proofErr w:type="spellEnd"/>
            <w:r>
              <w:t xml:space="preserve"> – pedagogické centrum. </w:t>
            </w:r>
          </w:p>
          <w:p w14:paraId="21D5399D" w14:textId="4300B901" w:rsidR="00312B77" w:rsidRPr="00584E0B" w:rsidRDefault="00312B77" w:rsidP="00312B77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ČIŽMÁROVÁ, M., 2011. </w:t>
            </w:r>
            <w:r w:rsidRPr="00A1191B">
              <w:rPr>
                <w:i/>
              </w:rPr>
              <w:t>Ukrajinský jazyk pre Slovákov.</w:t>
            </w:r>
            <w:r>
              <w:t xml:space="preserve"> Prešov: Filozofická fakulta Prešovskej univerzity v Prešove.</w:t>
            </w:r>
          </w:p>
        </w:tc>
      </w:tr>
      <w:tr w:rsidR="008A34EB" w:rsidRPr="00584E0B" w14:paraId="3D8727BF" w14:textId="77777777" w:rsidTr="00EA5317">
        <w:trPr>
          <w:trHeight w:val="446"/>
        </w:trPr>
        <w:tc>
          <w:tcPr>
            <w:tcW w:w="9322" w:type="dxa"/>
            <w:gridSpan w:val="2"/>
            <w:vAlign w:val="center"/>
          </w:tcPr>
          <w:p w14:paraId="4E64D80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4A7DF0EB" w:rsidR="00EA5317" w:rsidRPr="00EA5317" w:rsidRDefault="00F67B31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Slovak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</w:tr>
      <w:tr w:rsidR="008A34EB" w:rsidRPr="00584E0B" w14:paraId="4DD79B57" w14:textId="77777777" w:rsidTr="00EA5317">
        <w:trPr>
          <w:trHeight w:val="431"/>
        </w:trPr>
        <w:tc>
          <w:tcPr>
            <w:tcW w:w="9322" w:type="dxa"/>
            <w:gridSpan w:val="2"/>
            <w:vAlign w:val="center"/>
          </w:tcPr>
          <w:p w14:paraId="050C8F06" w14:textId="58BCCDF4" w:rsidR="00EA5317" w:rsidRPr="00EA5317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EA5317">
        <w:trPr>
          <w:trHeight w:val="1567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234E61F8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F67B31" w:rsidRPr="00EA5317">
              <w:rPr>
                <w:rFonts w:asciiTheme="minorHAnsi" w:hAnsiTheme="minorHAnsi" w:cstheme="minorHAnsi"/>
                <w:i/>
                <w:iCs/>
              </w:rPr>
              <w:t>22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1F070E05" w:rsidR="008A34EB" w:rsidRPr="00EA5317" w:rsidRDefault="00F67B3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EA5317">
                    <w:rPr>
                      <w:rFonts w:asciiTheme="minorHAnsi" w:hAnsiTheme="minorHAnsi" w:cstheme="minorHAnsi"/>
                      <w:i/>
                      <w:iCs/>
                    </w:rPr>
                    <w:t>77%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2DD40E1F" w:rsidR="008A34EB" w:rsidRPr="00EA5317" w:rsidRDefault="00F67B3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EA5317">
                    <w:rPr>
                      <w:rFonts w:asciiTheme="minorHAnsi" w:hAnsiTheme="minorHAnsi" w:cstheme="minorHAnsi"/>
                      <w:i/>
                      <w:iCs/>
                    </w:rPr>
                    <w:t>14%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77B59995" w:rsidR="008A34EB" w:rsidRPr="00EA5317" w:rsidRDefault="00F67B3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EA5317">
                    <w:rPr>
                      <w:rFonts w:asciiTheme="minorHAnsi" w:hAnsiTheme="minorHAnsi" w:cstheme="minorHAnsi"/>
                      <w:i/>
                      <w:iCs/>
                    </w:rP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77D732EB" w:rsidR="008A34EB" w:rsidRPr="00EA5317" w:rsidRDefault="00F67B3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EA5317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6AF99E1A" w:rsidR="008A34EB" w:rsidRPr="00EA5317" w:rsidRDefault="00F67B3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EA5317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1CC100BB" w:rsidR="008A34EB" w:rsidRPr="00EA5317" w:rsidRDefault="00F67B3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EA5317">
                    <w:rPr>
                      <w:rFonts w:asciiTheme="minorHAnsi" w:hAnsiTheme="minorHAnsi" w:cstheme="minorHAnsi"/>
                      <w:i/>
                      <w:iCs/>
                    </w:rPr>
                    <w:t>5%</w:t>
                  </w:r>
                </w:p>
              </w:tc>
            </w:tr>
          </w:tbl>
          <w:p w14:paraId="0979F6C3" w14:textId="42394404" w:rsidR="00EA5317" w:rsidRPr="00584E0B" w:rsidRDefault="00EA5317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EA5317">
        <w:trPr>
          <w:trHeight w:val="795"/>
        </w:trPr>
        <w:tc>
          <w:tcPr>
            <w:tcW w:w="9322" w:type="dxa"/>
            <w:gridSpan w:val="2"/>
            <w:vAlign w:val="center"/>
          </w:tcPr>
          <w:p w14:paraId="38EF6943" w14:textId="0829CE08" w:rsidR="00EA5317" w:rsidRPr="00EA5317" w:rsidRDefault="005A0E9F" w:rsidP="00EA5317">
            <w:pPr>
              <w:rPr>
                <w:lang w:eastAsia="ru-RU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F67B31">
              <w:rPr>
                <w:rFonts w:asciiTheme="minorHAnsi" w:hAnsiTheme="minorHAnsi" w:cstheme="minorHAnsi"/>
                <w:b/>
              </w:rPr>
              <w:t xml:space="preserve"> </w:t>
            </w:r>
            <w:r w:rsidR="00F67B31" w:rsidRPr="00F67B3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Prof. </w:t>
            </w:r>
            <w:proofErr w:type="spellStart"/>
            <w:r w:rsidR="00F67B31" w:rsidRPr="00F67B3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Ph.Dr.</w:t>
            </w:r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Mária</w:t>
            </w:r>
            <w:proofErr w:type="spellEnd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Čižmárová, CSc., </w:t>
            </w:r>
            <w:proofErr w:type="spellStart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guarantor</w:t>
            </w:r>
            <w:proofErr w:type="spellEnd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lecturer</w:t>
            </w:r>
            <w:proofErr w:type="spellEnd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examiner</w:t>
            </w:r>
            <w:proofErr w:type="spellEnd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instructor</w:t>
            </w:r>
            <w:proofErr w:type="spellEnd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seminar</w:t>
            </w:r>
            <w:proofErr w:type="spellEnd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F67B31"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leader</w:t>
            </w:r>
            <w:proofErr w:type="spellEnd"/>
          </w:p>
        </w:tc>
      </w:tr>
      <w:tr w:rsidR="008A34EB" w:rsidRPr="00584E0B" w14:paraId="460D964F" w14:textId="77777777" w:rsidTr="00EA5317">
        <w:trPr>
          <w:trHeight w:val="282"/>
        </w:trPr>
        <w:tc>
          <w:tcPr>
            <w:tcW w:w="9322" w:type="dxa"/>
            <w:gridSpan w:val="2"/>
            <w:vAlign w:val="center"/>
          </w:tcPr>
          <w:p w14:paraId="20D27CE1" w14:textId="15B52263" w:rsidR="00EA5317" w:rsidRPr="00EA5317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67B31" w:rsidRPr="00F67B31">
              <w:rPr>
                <w:rFonts w:asciiTheme="minorHAnsi" w:hAnsiTheme="minorHAnsi" w:cstheme="minorHAnsi"/>
                <w:i/>
                <w:iCs/>
              </w:rPr>
              <w:t>January</w:t>
            </w:r>
            <w:proofErr w:type="spellEnd"/>
            <w:r w:rsidR="00F67B31" w:rsidRPr="00F67B31">
              <w:rPr>
                <w:rFonts w:asciiTheme="minorHAnsi" w:hAnsiTheme="minorHAnsi" w:cstheme="minorHAnsi"/>
                <w:i/>
                <w:iCs/>
              </w:rPr>
              <w:t xml:space="preserve"> 30, 2022</w:t>
            </w:r>
          </w:p>
        </w:tc>
      </w:tr>
      <w:tr w:rsidR="008A34EB" w:rsidRPr="00584E0B" w14:paraId="10996AB0" w14:textId="77777777" w:rsidTr="00EA5317">
        <w:trPr>
          <w:trHeight w:val="552"/>
        </w:trPr>
        <w:tc>
          <w:tcPr>
            <w:tcW w:w="9322" w:type="dxa"/>
            <w:gridSpan w:val="2"/>
            <w:vAlign w:val="center"/>
          </w:tcPr>
          <w:p w14:paraId="33F8716C" w14:textId="77777777" w:rsidR="008A34EB" w:rsidRDefault="005A0E9F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124C34FC" w14:textId="4B2AD730" w:rsidR="00F67B31" w:rsidRPr="00584E0B" w:rsidRDefault="00F67B31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67B3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Prof. </w:t>
            </w:r>
            <w:proofErr w:type="spellStart"/>
            <w:r w:rsidRPr="00F67B3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Ph.Dr.</w:t>
            </w:r>
            <w:r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Mária</w:t>
            </w:r>
            <w:proofErr w:type="spellEnd"/>
            <w:r w:rsidRPr="00F67B3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Čižmárová, CSc</w:t>
            </w:r>
            <w: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2EAD" w14:textId="77777777" w:rsidR="00025EC1" w:rsidRDefault="00025EC1" w:rsidP="00524AED">
      <w:r>
        <w:separator/>
      </w:r>
    </w:p>
  </w:endnote>
  <w:endnote w:type="continuationSeparator" w:id="0">
    <w:p w14:paraId="581C7079" w14:textId="77777777" w:rsidR="00025EC1" w:rsidRDefault="00025EC1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6E88" w14:textId="77777777" w:rsidR="00025EC1" w:rsidRDefault="00025EC1" w:rsidP="00524AED">
      <w:r>
        <w:separator/>
      </w:r>
    </w:p>
  </w:footnote>
  <w:footnote w:type="continuationSeparator" w:id="0">
    <w:p w14:paraId="282EF6AC" w14:textId="77777777" w:rsidR="00025EC1" w:rsidRDefault="00025EC1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25EC1"/>
    <w:rsid w:val="00054605"/>
    <w:rsid w:val="000562BF"/>
    <w:rsid w:val="000E3018"/>
    <w:rsid w:val="000F2679"/>
    <w:rsid w:val="0016301A"/>
    <w:rsid w:val="00176E5C"/>
    <w:rsid w:val="00225921"/>
    <w:rsid w:val="00233655"/>
    <w:rsid w:val="00234395"/>
    <w:rsid w:val="002A5BF1"/>
    <w:rsid w:val="002F69CA"/>
    <w:rsid w:val="003122C8"/>
    <w:rsid w:val="00312B77"/>
    <w:rsid w:val="00376102"/>
    <w:rsid w:val="003C0EA9"/>
    <w:rsid w:val="003D218D"/>
    <w:rsid w:val="003F438A"/>
    <w:rsid w:val="004A2C0C"/>
    <w:rsid w:val="00524AED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896023"/>
    <w:rsid w:val="008A34EB"/>
    <w:rsid w:val="008D4963"/>
    <w:rsid w:val="00926B3E"/>
    <w:rsid w:val="00942D36"/>
    <w:rsid w:val="009C3D14"/>
    <w:rsid w:val="009C7D50"/>
    <w:rsid w:val="00A0539F"/>
    <w:rsid w:val="00A22CC8"/>
    <w:rsid w:val="00A56373"/>
    <w:rsid w:val="00A65AB0"/>
    <w:rsid w:val="00AA07DB"/>
    <w:rsid w:val="00B64928"/>
    <w:rsid w:val="00BB7400"/>
    <w:rsid w:val="00BE2642"/>
    <w:rsid w:val="00CE1DB1"/>
    <w:rsid w:val="00CF5E19"/>
    <w:rsid w:val="00D20030"/>
    <w:rsid w:val="00D34565"/>
    <w:rsid w:val="00D643F6"/>
    <w:rsid w:val="00DB5D97"/>
    <w:rsid w:val="00E4402C"/>
    <w:rsid w:val="00E93E1B"/>
    <w:rsid w:val="00EA5317"/>
    <w:rsid w:val="00EE1B50"/>
    <w:rsid w:val="00EF197D"/>
    <w:rsid w:val="00F67B31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2F69CA"/>
  </w:style>
  <w:style w:type="character" w:customStyle="1" w:styleId="tag">
    <w:name w:val="tag"/>
    <w:basedOn w:val="a0"/>
    <w:rsid w:val="002F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212E-8128-4A70-90C8-B4B3B0B20BC4}"/>
</file>

<file path=customXml/itemProps2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