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907701" w:rsidRDefault="008A34EB" w:rsidP="008A34EB">
      <w:pPr>
        <w:ind w:left="720"/>
        <w:jc w:val="center"/>
        <w:rPr>
          <w:rFonts w:asciiTheme="minorHAnsi" w:hAnsiTheme="minorHAnsi" w:cstheme="minorHAnsi"/>
          <w:lang w:val="uk-UA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A060DA">
        <w:trPr>
          <w:trHeight w:val="362"/>
        </w:trPr>
        <w:tc>
          <w:tcPr>
            <w:tcW w:w="4110" w:type="dxa"/>
            <w:vAlign w:val="center"/>
          </w:tcPr>
          <w:p w14:paraId="289F514E" w14:textId="06FC11F3" w:rsidR="00A060DA" w:rsidRDefault="005A0E9F" w:rsidP="00584E0B">
            <w:pPr>
              <w:jc w:val="both"/>
              <w:rPr>
                <w:i/>
                <w:i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907701" w:rsidRPr="00907701">
              <w:rPr>
                <w:i/>
                <w:iCs/>
                <w:lang w:eastAsia="en-US"/>
              </w:rPr>
              <w:t>1IUKR/UKJAZ/22</w:t>
            </w:r>
          </w:p>
          <w:p w14:paraId="1A57432C" w14:textId="582C77CC" w:rsidR="00A060DA" w:rsidRPr="00584E0B" w:rsidRDefault="00A060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20B8B665" w14:textId="3AAB391B" w:rsidR="00A060DA" w:rsidRPr="00A060DA" w:rsidRDefault="005A0E9F" w:rsidP="001B15F6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proofErr w:type="spellStart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>Chapters</w:t>
            </w:r>
            <w:proofErr w:type="spellEnd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>from</w:t>
            </w:r>
            <w:proofErr w:type="spellEnd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>Slavic</w:t>
            </w:r>
            <w:proofErr w:type="spellEnd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B15F6" w:rsidRPr="001B15F6">
              <w:rPr>
                <w:rFonts w:asciiTheme="minorHAnsi" w:hAnsiTheme="minorHAnsi" w:cstheme="minorHAnsi"/>
                <w:bCs/>
                <w:i/>
                <w:iCs/>
              </w:rPr>
              <w:t>Linguistics</w:t>
            </w:r>
            <w:proofErr w:type="spellEnd"/>
            <w:r w:rsidR="001B15F6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bookmarkEnd w:id="0"/>
            <w:r w:rsidR="00907701" w:rsidRPr="00907701">
              <w:rPr>
                <w:rFonts w:asciiTheme="minorHAnsi" w:hAnsiTheme="minorHAnsi" w:cstheme="minorHAnsi"/>
                <w:bCs/>
                <w:i/>
                <w:iCs/>
              </w:rPr>
              <w:t xml:space="preserve">(profile </w:t>
            </w:r>
            <w:proofErr w:type="spellStart"/>
            <w:r w:rsidR="00907701" w:rsidRPr="00907701">
              <w:rPr>
                <w:rFonts w:asciiTheme="minorHAnsi" w:hAnsiTheme="minorHAnsi" w:cstheme="minorHAnsi"/>
                <w:bCs/>
                <w:i/>
                <w:iCs/>
              </w:rPr>
              <w:t>course</w:t>
            </w:r>
            <w:proofErr w:type="spellEnd"/>
            <w:r w:rsidR="00907701" w:rsidRPr="00907701">
              <w:rPr>
                <w:rFonts w:asciiTheme="minorHAnsi" w:hAnsiTheme="minorHAnsi" w:cstheme="minorHAnsi"/>
                <w:bCs/>
                <w:i/>
                <w:iCs/>
              </w:rPr>
              <w:t>) (P)</w:t>
            </w:r>
          </w:p>
        </w:tc>
      </w:tr>
      <w:tr w:rsidR="008A34EB" w:rsidRPr="00584E0B" w14:paraId="1541EDD8" w14:textId="77777777" w:rsidTr="00A060DA">
        <w:trPr>
          <w:trHeight w:val="1590"/>
        </w:trPr>
        <w:tc>
          <w:tcPr>
            <w:tcW w:w="9322" w:type="dxa"/>
            <w:gridSpan w:val="2"/>
            <w:vAlign w:val="center"/>
          </w:tcPr>
          <w:p w14:paraId="292F83BA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14BC841F" w14:textId="77777777" w:rsidR="00907701" w:rsidRPr="00907701" w:rsidRDefault="00907701" w:rsidP="00907701">
            <w:pPr>
              <w:rPr>
                <w:i/>
                <w:iCs/>
                <w:color w:val="000000" w:themeColor="text1"/>
                <w:lang w:eastAsia="ru-RU"/>
              </w:rPr>
            </w:pPr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1 </w:t>
            </w:r>
            <w:proofErr w:type="spellStart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lecture</w:t>
            </w:r>
            <w:proofErr w:type="spellEnd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/ 1 </w:t>
            </w:r>
            <w:proofErr w:type="spellStart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07701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</w:p>
          <w:p w14:paraId="33AABA98" w14:textId="77777777" w:rsidR="00907701" w:rsidRDefault="00907701" w:rsidP="00907701">
            <w:pPr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  <w:proofErr w:type="spellStart"/>
            <w:r w:rsidRPr="00907701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Method:combined</w:t>
            </w:r>
            <w:proofErr w:type="spellEnd"/>
          </w:p>
          <w:p w14:paraId="2008BD5F" w14:textId="77777777" w:rsidR="00A060DA" w:rsidRDefault="00A060DA" w:rsidP="00907701">
            <w:pPr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</w:p>
          <w:p w14:paraId="6FF14070" w14:textId="0CD90316" w:rsidR="00A060DA" w:rsidRPr="00907701" w:rsidRDefault="00A060DA" w:rsidP="0090770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A34EB" w:rsidRPr="00584E0B" w14:paraId="5C14491A" w14:textId="77777777" w:rsidTr="00A060DA">
        <w:trPr>
          <w:trHeight w:val="204"/>
        </w:trPr>
        <w:tc>
          <w:tcPr>
            <w:tcW w:w="9322" w:type="dxa"/>
            <w:gridSpan w:val="2"/>
            <w:vAlign w:val="center"/>
          </w:tcPr>
          <w:p w14:paraId="1D4E3357" w14:textId="521F3A03" w:rsidR="00A060DA" w:rsidRPr="00A060DA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907701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A060DA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68035CE7" w:rsidR="00A060DA" w:rsidRPr="00907701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907701" w:rsidRPr="00907701">
              <w:rPr>
                <w:rFonts w:asciiTheme="minorHAnsi" w:hAnsiTheme="minorHAnsi" w:cstheme="minorHAnsi"/>
                <w:i/>
                <w:iCs/>
              </w:rPr>
              <w:t>1</w:t>
            </w:r>
            <w:r w:rsidR="00907701" w:rsidRPr="00907701">
              <w:rPr>
                <w:rFonts w:asciiTheme="minorHAnsi" w:hAnsiTheme="minorHAnsi" w:cstheme="minorHAnsi"/>
                <w:i/>
                <w:iCs/>
                <w:vertAlign w:val="superscript"/>
              </w:rPr>
              <w:t>st</w:t>
            </w:r>
            <w:r w:rsidR="00907701" w:rsidRPr="00907701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A060DA">
        <w:trPr>
          <w:trHeight w:val="543"/>
        </w:trPr>
        <w:tc>
          <w:tcPr>
            <w:tcW w:w="9322" w:type="dxa"/>
            <w:gridSpan w:val="2"/>
            <w:vAlign w:val="center"/>
          </w:tcPr>
          <w:p w14:paraId="357CB491" w14:textId="25ECBB3B" w:rsidR="00A060DA" w:rsidRPr="00A060DA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907701" w:rsidRPr="00D849A9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A060DA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57808763" w:rsidR="00A060DA" w:rsidRPr="00A060DA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A060DA">
        <w:trPr>
          <w:trHeight w:val="1155"/>
        </w:trPr>
        <w:tc>
          <w:tcPr>
            <w:tcW w:w="9322" w:type="dxa"/>
            <w:gridSpan w:val="2"/>
            <w:vAlign w:val="center"/>
          </w:tcPr>
          <w:p w14:paraId="47D17B9D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D711292" w14:textId="74864096" w:rsidR="00A060DA" w:rsidRPr="00A060DA" w:rsidRDefault="00D849A9" w:rsidP="00A060DA">
            <w:pPr>
              <w:rPr>
                <w:i/>
                <w:iCs/>
                <w:color w:val="000000" w:themeColor="text1"/>
                <w:shd w:val="clear" w:color="auto" w:fill="F2F4F7"/>
              </w:rPr>
            </w:pP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course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completed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by a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final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evaluation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form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test.</w:t>
            </w:r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During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semester,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prepares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presents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paper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at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award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final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evaluation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also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conditional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on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student's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active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participation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seminars</w:t>
            </w:r>
            <w:proofErr w:type="spellEnd"/>
            <w:r w:rsidR="00504570" w:rsidRPr="00A060DA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</w:tc>
      </w:tr>
      <w:tr w:rsidR="008A34EB" w:rsidRPr="00584E0B" w14:paraId="0741C229" w14:textId="77777777" w:rsidTr="00A060DA">
        <w:trPr>
          <w:trHeight w:val="2112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F8534F2" w14:textId="77777777" w:rsidR="00CE1DB1" w:rsidRDefault="00CE1DB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FB7D09" w14:textId="53446582" w:rsidR="00CE1DB1" w:rsidRPr="00AB4FB3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26B7D20E" w:rsidR="00CE1DB1" w:rsidRDefault="00504570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expand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linguistics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enriches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terminological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apparatus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memorizes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definitions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division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linguistics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sciences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learn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classification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04570">
              <w:rPr>
                <w:rFonts w:asciiTheme="minorHAnsi" w:hAnsiTheme="minorHAnsi" w:cstheme="minorHAnsi"/>
                <w:i/>
              </w:rPr>
              <w:t>languages</w:t>
            </w:r>
            <w:proofErr w:type="spellEnd"/>
            <w:r w:rsidRPr="00504570">
              <w:rPr>
                <w:rFonts w:asciiTheme="minorHAnsi" w:hAnsiTheme="minorHAnsi" w:cstheme="minorHAnsi"/>
                <w:i/>
              </w:rPr>
              <w:t>.</w:t>
            </w:r>
            <w:r w:rsidR="00AB4FB3"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B4FB3" w:rsidRPr="00AB4FB3">
              <w:rPr>
                <w:rFonts w:asciiTheme="minorHAnsi" w:hAnsiTheme="minorHAnsi" w:cstheme="minorHAnsi"/>
                <w:i/>
              </w:rPr>
              <w:t>levels</w:t>
            </w:r>
            <w:proofErr w:type="spellEnd"/>
            <w:r w:rsidR="00AB4FB3" w:rsidRPr="00AB4FB3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01F6FB48" w:rsidR="00CE1DB1" w:rsidRPr="00AB4FB3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7B95C44F" w:rsidR="00CE1DB1" w:rsidRPr="00A8592E" w:rsidRDefault="00AB4FB3" w:rsidP="00AB4FB3">
            <w:pPr>
              <w:rPr>
                <w:i/>
                <w:iCs/>
                <w:color w:val="000000" w:themeColor="text1"/>
                <w:lang w:eastAsia="ru-RU"/>
              </w:rPr>
            </w:pP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able</w:t>
            </w:r>
            <w:proofErr w:type="spellEnd"/>
            <w:r w:rsidRPr="00A8592E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 </w:t>
            </w:r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to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during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solution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assignments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describe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basic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linguistic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their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units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demonstrate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their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explain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nature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phenomena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relationships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between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them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reproduce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classification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.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identify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Slavic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used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text. 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able</w:t>
            </w:r>
            <w:proofErr w:type="spellEnd"/>
            <w:r w:rsidRPr="00A8592E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 </w:t>
            </w:r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to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apply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publishing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presentation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activities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scientific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communication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on a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domestic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international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scale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  <w:p w14:paraId="6D738304" w14:textId="7B129E78" w:rsidR="00CE1DB1" w:rsidRPr="00AB4FB3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AB4FB3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AB4FB3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293AF53A" w:rsidR="00A060DA" w:rsidRPr="00A060DA" w:rsidRDefault="00A8592E" w:rsidP="00A060DA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search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process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analyse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professional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information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from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different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sources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in a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foreign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language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exchange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information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.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publicly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skills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using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appropriate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linguistic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A8592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BFDCB70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4F279E6" w14:textId="77777777" w:rsidR="00A8592E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linguistics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subject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frontier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linguistic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disciplines</w:t>
            </w:r>
            <w:proofErr w:type="spellEnd"/>
          </w:p>
          <w:p w14:paraId="20578915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means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communication</w:t>
            </w:r>
            <w:proofErr w:type="spellEnd"/>
          </w:p>
          <w:p w14:paraId="0613FBEE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system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structure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sign</w:t>
            </w:r>
            <w:proofErr w:type="spellEnd"/>
          </w:p>
          <w:p w14:paraId="6A746D49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views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origin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  <w:p w14:paraId="7E7CECE2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lastRenderedPageBreak/>
              <w:t>l</w:t>
            </w:r>
            <w:r w:rsidRPr="003623B1">
              <w:rPr>
                <w:rFonts w:asciiTheme="minorHAnsi" w:hAnsiTheme="minorHAnsi" w:cstheme="minorHAnsi"/>
                <w:i/>
              </w:rPr>
              <w:t>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thinking</w:t>
            </w:r>
            <w:proofErr w:type="spellEnd"/>
          </w:p>
          <w:p w14:paraId="5D297B06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l</w:t>
            </w:r>
            <w:r w:rsidRPr="003623B1">
              <w:rPr>
                <w:rFonts w:asciiTheme="minorHAnsi" w:hAnsiTheme="minorHAnsi" w:cstheme="minorHAnsi"/>
                <w:i/>
              </w:rPr>
              <w:t>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functions</w:t>
            </w:r>
            <w:proofErr w:type="spellEnd"/>
          </w:p>
          <w:p w14:paraId="2DE4B970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classification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genealogical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typological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areal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>)</w:t>
            </w:r>
          </w:p>
          <w:p w14:paraId="1E74C9AA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levels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  <w:p w14:paraId="2D46B80C" w14:textId="77777777" w:rsid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 w:rsidRPr="003623B1">
              <w:rPr>
                <w:rFonts w:asciiTheme="minorHAnsi" w:hAnsiTheme="minorHAnsi" w:cstheme="minorHAnsi"/>
                <w:i/>
              </w:rPr>
              <w:t>synchrony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diachronia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method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</w:p>
          <w:p w14:paraId="00C24124" w14:textId="4B9CA7D3" w:rsidR="003623B1" w:rsidRPr="003623B1" w:rsidRDefault="003623B1" w:rsidP="003623B1">
            <w:pPr>
              <w:pStyle w:val="Odsekzoznamu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famous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linguistic</w:t>
            </w:r>
            <w:proofErr w:type="spellEnd"/>
            <w:r w:rsidRPr="003623B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623B1">
              <w:rPr>
                <w:rFonts w:asciiTheme="minorHAnsi" w:hAnsiTheme="minorHAnsi" w:cstheme="minorHAnsi"/>
                <w:i/>
              </w:rPr>
              <w:t>schools</w:t>
            </w:r>
            <w:proofErr w:type="spellEnd"/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0C8338D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B6EA2E1" w14:textId="77777777" w:rsidR="003623B1" w:rsidRDefault="003623B1" w:rsidP="003623B1">
            <w:pPr>
              <w:rPr>
                <w:lang w:eastAsia="en-US"/>
              </w:rPr>
            </w:pPr>
            <w:r>
              <w:rPr>
                <w:lang w:eastAsia="en-US"/>
              </w:rPr>
              <w:t>HORECKÝ, J.,  1975.</w:t>
            </w:r>
            <w:r w:rsidRPr="00A159DB">
              <w:rPr>
                <w:lang w:eastAsia="en-US"/>
              </w:rPr>
              <w:t xml:space="preserve"> </w:t>
            </w:r>
            <w:r w:rsidRPr="00A159DB">
              <w:rPr>
                <w:i/>
                <w:lang w:eastAsia="en-US"/>
              </w:rPr>
              <w:t>Úvod do jazykovedy.</w:t>
            </w:r>
            <w:r>
              <w:rPr>
                <w:lang w:eastAsia="en-US"/>
              </w:rPr>
              <w:t xml:space="preserve"> Bratislava: SPN.</w:t>
            </w:r>
            <w:r w:rsidRPr="00A159DB"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HRYŠČENKO, A. a kol. 1997. </w:t>
            </w:r>
            <w:proofErr w:type="spellStart"/>
            <w:r>
              <w:rPr>
                <w:i/>
                <w:lang w:eastAsia="en-US"/>
              </w:rPr>
              <w:t>Sučasna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literaturna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Kyjiv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Vyšča</w:t>
            </w:r>
            <w:proofErr w:type="spellEnd"/>
            <w:r>
              <w:rPr>
                <w:lang w:eastAsia="en-US"/>
              </w:rPr>
              <w:t xml:space="preserve"> škola.</w:t>
            </w:r>
          </w:p>
          <w:p w14:paraId="6E6B78E9" w14:textId="77777777" w:rsidR="003623B1" w:rsidRDefault="003623B1" w:rsidP="003623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JUŠČUK, I., 2003.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Kyjiv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Lybiď</w:t>
            </w:r>
            <w:proofErr w:type="spellEnd"/>
            <w:r>
              <w:rPr>
                <w:lang w:eastAsia="en-US"/>
              </w:rPr>
              <w:t>.</w:t>
            </w:r>
          </w:p>
          <w:p w14:paraId="2C0A876B" w14:textId="77777777" w:rsidR="003623B1" w:rsidRDefault="003623B1" w:rsidP="003623B1">
            <w:pPr>
              <w:rPr>
                <w:lang w:eastAsia="en-US"/>
              </w:rPr>
            </w:pPr>
            <w:r w:rsidRPr="00A159DB">
              <w:rPr>
                <w:lang w:eastAsia="en-US"/>
              </w:rPr>
              <w:t>MIKLUŠ, M.: - VARCHOLA</w:t>
            </w:r>
            <w:r>
              <w:rPr>
                <w:lang w:eastAsia="en-US"/>
              </w:rPr>
              <w:t xml:space="preserve">, M., </w:t>
            </w:r>
            <w:r w:rsidRPr="00A159DB">
              <w:rPr>
                <w:lang w:eastAsia="en-US"/>
              </w:rPr>
              <w:t xml:space="preserve">1984. </w:t>
            </w:r>
            <w:r w:rsidRPr="00A159DB">
              <w:rPr>
                <w:i/>
                <w:lang w:eastAsia="en-US"/>
              </w:rPr>
              <w:t>Základy jazykovedy</w:t>
            </w:r>
            <w:r>
              <w:rPr>
                <w:lang w:eastAsia="en-US"/>
              </w:rPr>
              <w:t xml:space="preserve"> I. Košice: Rektorát UPJŠ.</w:t>
            </w:r>
          </w:p>
          <w:p w14:paraId="2AF9E89E" w14:textId="77777777" w:rsidR="003623B1" w:rsidRDefault="003623B1" w:rsidP="003623B1">
            <w:pPr>
              <w:jc w:val="both"/>
              <w:rPr>
                <w:lang w:eastAsia="en-US"/>
              </w:rPr>
            </w:pPr>
            <w:r w:rsidRPr="00A159DB">
              <w:rPr>
                <w:lang w:eastAsia="en-US"/>
              </w:rPr>
              <w:t>MIKLUŠ, M.: - VARCHOLA</w:t>
            </w:r>
            <w:r>
              <w:rPr>
                <w:lang w:eastAsia="en-US"/>
              </w:rPr>
              <w:t xml:space="preserve">, M., </w:t>
            </w:r>
            <w:r w:rsidRPr="00A159DB">
              <w:rPr>
                <w:lang w:eastAsia="en-US"/>
              </w:rPr>
              <w:t xml:space="preserve">1984. </w:t>
            </w:r>
            <w:r w:rsidRPr="00A159DB">
              <w:rPr>
                <w:i/>
                <w:lang w:eastAsia="en-US"/>
              </w:rPr>
              <w:t>Základy jazykovedy</w:t>
            </w:r>
            <w:r>
              <w:rPr>
                <w:lang w:eastAsia="en-US"/>
              </w:rPr>
              <w:t xml:space="preserve"> 2. Košice: Rektorát UPJŠ.</w:t>
            </w:r>
          </w:p>
          <w:p w14:paraId="505DB995" w14:textId="77777777" w:rsidR="003623B1" w:rsidRDefault="003623B1" w:rsidP="003623B1">
            <w:pPr>
              <w:jc w:val="both"/>
              <w:rPr>
                <w:lang w:eastAsia="en-US"/>
              </w:rPr>
            </w:pPr>
            <w:r w:rsidRPr="00A159DB">
              <w:rPr>
                <w:lang w:eastAsia="en-US"/>
              </w:rPr>
              <w:t>ONDRUŠ, Š. – SABOL, J.</w:t>
            </w:r>
            <w:r>
              <w:rPr>
                <w:lang w:eastAsia="en-US"/>
              </w:rPr>
              <w:t xml:space="preserve">, </w:t>
            </w:r>
            <w:r w:rsidRPr="00A159DB">
              <w:rPr>
                <w:lang w:eastAsia="en-US"/>
              </w:rPr>
              <w:t xml:space="preserve">1987. </w:t>
            </w:r>
            <w:r>
              <w:rPr>
                <w:i/>
                <w:lang w:eastAsia="en-US"/>
              </w:rPr>
              <w:t>Úvod do štúdia jazykov</w:t>
            </w:r>
            <w:r w:rsidRPr="00A159DB"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Bratislava: SPN.</w:t>
            </w:r>
          </w:p>
          <w:p w14:paraId="36A56E35" w14:textId="77777777" w:rsidR="003623B1" w:rsidRDefault="003623B1" w:rsidP="003623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PONOMARIV, O. a kol., 2005. </w:t>
            </w:r>
            <w:proofErr w:type="spellStart"/>
            <w:r>
              <w:rPr>
                <w:i/>
                <w:lang w:eastAsia="en-US"/>
              </w:rPr>
              <w:t>Sučasna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Kyjiv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Lybiď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br/>
              <w:t xml:space="preserve">PĽUŠČ, M. a kol., 2000. </w:t>
            </w:r>
            <w:proofErr w:type="spellStart"/>
            <w:r>
              <w:rPr>
                <w:i/>
                <w:lang w:eastAsia="en-US"/>
              </w:rPr>
              <w:t>Sučasna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literaturna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Kyjiv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Vyšča</w:t>
            </w:r>
            <w:proofErr w:type="spellEnd"/>
            <w:r>
              <w:rPr>
                <w:lang w:eastAsia="en-US"/>
              </w:rPr>
              <w:t xml:space="preserve"> škola.</w:t>
            </w:r>
          </w:p>
          <w:p w14:paraId="0381C25F" w14:textId="77777777" w:rsidR="003623B1" w:rsidRDefault="003623B1" w:rsidP="003623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ŠEVČENKO, L. – RIZUN, V. – LYSENKO, J. 1993. </w:t>
            </w:r>
            <w:proofErr w:type="spellStart"/>
            <w:r>
              <w:rPr>
                <w:i/>
                <w:lang w:eastAsia="en-US"/>
              </w:rPr>
              <w:t>Sučasna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Dovidnyk</w:t>
            </w:r>
            <w:proofErr w:type="spellEnd"/>
            <w:r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Kyjiv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Lybiď</w:t>
            </w:r>
            <w:proofErr w:type="spellEnd"/>
            <w:r>
              <w:rPr>
                <w:lang w:eastAsia="en-US"/>
              </w:rPr>
              <w:t>.</w:t>
            </w:r>
          </w:p>
          <w:p w14:paraId="21D5399D" w14:textId="240A6532" w:rsidR="003623B1" w:rsidRPr="00584E0B" w:rsidRDefault="003623B1" w:rsidP="003623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t xml:space="preserve">ZUBKOV, M., 2006. </w:t>
            </w:r>
            <w:proofErr w:type="spellStart"/>
            <w:r>
              <w:rPr>
                <w:i/>
                <w:lang w:eastAsia="en-US"/>
              </w:rPr>
              <w:t>Ukrajinska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mova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Universaľnyj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dovidnyk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Charkiv</w:t>
            </w:r>
            <w:proofErr w:type="spellEnd"/>
            <w:r>
              <w:rPr>
                <w:lang w:eastAsia="en-US"/>
              </w:rPr>
              <w:t>: Škola.</w:t>
            </w:r>
          </w:p>
        </w:tc>
      </w:tr>
      <w:tr w:rsidR="008A34EB" w:rsidRPr="00584E0B" w14:paraId="3D8727BF" w14:textId="77777777" w:rsidTr="00A060DA">
        <w:trPr>
          <w:trHeight w:val="427"/>
        </w:trPr>
        <w:tc>
          <w:tcPr>
            <w:tcW w:w="9322" w:type="dxa"/>
            <w:gridSpan w:val="2"/>
            <w:vAlign w:val="center"/>
          </w:tcPr>
          <w:p w14:paraId="5EB41499" w14:textId="3E5FCCF1" w:rsidR="003623B1" w:rsidRPr="00A060DA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F70EF" w:rsidRPr="004F70EF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4F70EF" w:rsidRPr="004F70E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F70EF" w:rsidRPr="004F70EF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A060DA">
        <w:trPr>
          <w:trHeight w:val="414"/>
        </w:trPr>
        <w:tc>
          <w:tcPr>
            <w:tcW w:w="9322" w:type="dxa"/>
            <w:gridSpan w:val="2"/>
            <w:vAlign w:val="center"/>
          </w:tcPr>
          <w:p w14:paraId="050C8F06" w14:textId="5642608F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A060DA">
        <w:trPr>
          <w:trHeight w:val="1545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6F6129D4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4F70EF" w:rsidRPr="004F70EF">
              <w:rPr>
                <w:rFonts w:asciiTheme="minorHAnsi" w:hAnsiTheme="minorHAnsi" w:cstheme="minorHAnsi"/>
                <w:i/>
                <w:iCs/>
              </w:rPr>
              <w:t>23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59E9C94F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83%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6A13C744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5BD1B423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27A6C7E2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5FFF8B88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0882E292" w:rsidR="008A34EB" w:rsidRPr="004F70EF" w:rsidRDefault="004F70EF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F70EF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</w:tr>
          </w:tbl>
          <w:p w14:paraId="0979F6C3" w14:textId="79281990" w:rsidR="00A060DA" w:rsidRPr="00584E0B" w:rsidRDefault="00A060D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4F70EF">
        <w:trPr>
          <w:trHeight w:val="618"/>
        </w:trPr>
        <w:tc>
          <w:tcPr>
            <w:tcW w:w="9322" w:type="dxa"/>
            <w:gridSpan w:val="2"/>
            <w:vAlign w:val="center"/>
          </w:tcPr>
          <w:p w14:paraId="38EF6943" w14:textId="470AD353" w:rsidR="004F70EF" w:rsidRPr="004F70EF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4F70EF">
              <w:rPr>
                <w:rFonts w:asciiTheme="minorHAnsi" w:hAnsiTheme="minorHAnsi" w:cstheme="minorHAnsi"/>
                <w:b/>
              </w:rPr>
              <w:t xml:space="preserve"> </w:t>
            </w:r>
            <w:r w:rsidR="004F70EF" w:rsidRPr="004F70EF">
              <w:rPr>
                <w:b/>
                <w:i/>
                <w:iCs/>
              </w:rPr>
              <w:t>P</w:t>
            </w:r>
            <w:r w:rsidR="004F70EF" w:rsidRPr="004F70EF">
              <w:rPr>
                <w:i/>
                <w:iCs/>
                <w:lang w:eastAsia="en-US"/>
              </w:rPr>
              <w:t xml:space="preserve">rof. PhDr. Mária Čižmárová, CSc.,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guarantor</w:t>
            </w:r>
            <w:proofErr w:type="spellEnd"/>
            <w:r w:rsidR="004F70EF" w:rsidRPr="004F70EF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lecturer</w:t>
            </w:r>
            <w:proofErr w:type="spellEnd"/>
            <w:r w:rsidR="004F70EF" w:rsidRPr="004F70EF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examiner</w:t>
            </w:r>
            <w:proofErr w:type="spellEnd"/>
            <w:r w:rsidR="004F70EF" w:rsidRPr="004F70EF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instructor</w:t>
            </w:r>
            <w:proofErr w:type="spellEnd"/>
            <w:r w:rsidR="004F70EF" w:rsidRPr="004F70EF">
              <w:rPr>
                <w:i/>
                <w:iCs/>
                <w:lang w:eastAsia="en-US"/>
              </w:rPr>
              <w:t xml:space="preserve">,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seminar</w:t>
            </w:r>
            <w:proofErr w:type="spellEnd"/>
            <w:r w:rsidR="004F70EF" w:rsidRPr="004F70EF">
              <w:rPr>
                <w:i/>
                <w:iCs/>
                <w:lang w:eastAsia="en-US"/>
              </w:rPr>
              <w:t xml:space="preserve"> </w:t>
            </w:r>
            <w:proofErr w:type="spellStart"/>
            <w:r w:rsidR="004F70EF" w:rsidRPr="004F70EF">
              <w:rPr>
                <w:i/>
                <w:iCs/>
                <w:lang w:eastAsia="en-US"/>
              </w:rPr>
              <w:t>leader</w:t>
            </w:r>
            <w:proofErr w:type="spellEnd"/>
            <w:r w:rsidR="008A34EB" w:rsidRPr="004F70EF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ab/>
            </w:r>
          </w:p>
        </w:tc>
      </w:tr>
      <w:tr w:rsidR="008A34EB" w:rsidRPr="00584E0B" w14:paraId="460D964F" w14:textId="77777777" w:rsidTr="004F70EF">
        <w:trPr>
          <w:trHeight w:val="500"/>
        </w:trPr>
        <w:tc>
          <w:tcPr>
            <w:tcW w:w="9322" w:type="dxa"/>
            <w:gridSpan w:val="2"/>
            <w:vAlign w:val="center"/>
          </w:tcPr>
          <w:p w14:paraId="20D27CE1" w14:textId="653AA170" w:rsidR="004F70EF" w:rsidRPr="004F70EF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F70EF" w:rsidRPr="004F70EF">
              <w:rPr>
                <w:i/>
                <w:iCs/>
                <w:lang w:eastAsia="en-US"/>
              </w:rPr>
              <w:t>30.1.2022</w:t>
            </w:r>
          </w:p>
        </w:tc>
      </w:tr>
      <w:tr w:rsidR="008A34EB" w:rsidRPr="00584E0B" w14:paraId="10996AB0" w14:textId="77777777" w:rsidTr="004F70EF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2A80FF05" w:rsidR="004F70EF" w:rsidRPr="004F70EF" w:rsidRDefault="005A0E9F" w:rsidP="00A56373">
            <w:pPr>
              <w:tabs>
                <w:tab w:val="left" w:pos="1530"/>
              </w:tabs>
              <w:jc w:val="both"/>
              <w:rPr>
                <w:i/>
                <w:i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F70EF" w:rsidRPr="004F70EF">
              <w:rPr>
                <w:b/>
                <w:i/>
                <w:iCs/>
              </w:rPr>
              <w:t>P</w:t>
            </w:r>
            <w:r w:rsidR="004F70EF" w:rsidRPr="004F70EF">
              <w:rPr>
                <w:i/>
                <w:iCs/>
                <w:lang w:eastAsia="en-US"/>
              </w:rPr>
              <w:t>rof. PhDr. Mária Čižmárová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5A8E1" w14:textId="77777777" w:rsidR="00F36C9A" w:rsidRDefault="00F36C9A" w:rsidP="00524AED">
      <w:r>
        <w:separator/>
      </w:r>
    </w:p>
  </w:endnote>
  <w:endnote w:type="continuationSeparator" w:id="0">
    <w:p w14:paraId="5AE7AC58" w14:textId="77777777" w:rsidR="00F36C9A" w:rsidRDefault="00F36C9A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15F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15F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15F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15F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6AE1" w14:textId="77777777" w:rsidR="00F36C9A" w:rsidRDefault="00F36C9A" w:rsidP="00524AED">
      <w:r>
        <w:separator/>
      </w:r>
    </w:p>
  </w:footnote>
  <w:footnote w:type="continuationSeparator" w:id="0">
    <w:p w14:paraId="2E551C3D" w14:textId="77777777" w:rsidR="00F36C9A" w:rsidRDefault="00F36C9A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8CA"/>
    <w:multiLevelType w:val="hybridMultilevel"/>
    <w:tmpl w:val="C722F526"/>
    <w:lvl w:ilvl="0" w:tplc="E1728D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A5479"/>
    <w:multiLevelType w:val="hybridMultilevel"/>
    <w:tmpl w:val="449A467C"/>
    <w:lvl w:ilvl="0" w:tplc="5AC809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4D4D4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B15F6"/>
    <w:rsid w:val="00225921"/>
    <w:rsid w:val="00233655"/>
    <w:rsid w:val="00234395"/>
    <w:rsid w:val="002A5BF1"/>
    <w:rsid w:val="003122C8"/>
    <w:rsid w:val="003623B1"/>
    <w:rsid w:val="00376102"/>
    <w:rsid w:val="003C0EA9"/>
    <w:rsid w:val="003D218D"/>
    <w:rsid w:val="003F438A"/>
    <w:rsid w:val="004A2C0C"/>
    <w:rsid w:val="004F70EF"/>
    <w:rsid w:val="00504570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7B6910"/>
    <w:rsid w:val="00806AEA"/>
    <w:rsid w:val="00896023"/>
    <w:rsid w:val="008A34EB"/>
    <w:rsid w:val="008D4963"/>
    <w:rsid w:val="00907701"/>
    <w:rsid w:val="00942D36"/>
    <w:rsid w:val="009C3D14"/>
    <w:rsid w:val="00A0539F"/>
    <w:rsid w:val="00A060DA"/>
    <w:rsid w:val="00A22CC8"/>
    <w:rsid w:val="00A56373"/>
    <w:rsid w:val="00A65AB0"/>
    <w:rsid w:val="00A8592E"/>
    <w:rsid w:val="00AA07DB"/>
    <w:rsid w:val="00AB4FB3"/>
    <w:rsid w:val="00B64928"/>
    <w:rsid w:val="00BB7400"/>
    <w:rsid w:val="00BE2642"/>
    <w:rsid w:val="00CE1DB1"/>
    <w:rsid w:val="00CF5E19"/>
    <w:rsid w:val="00D20030"/>
    <w:rsid w:val="00D643F6"/>
    <w:rsid w:val="00D849A9"/>
    <w:rsid w:val="00DB5D97"/>
    <w:rsid w:val="00E4402C"/>
    <w:rsid w:val="00E93E1B"/>
    <w:rsid w:val="00EE1B50"/>
    <w:rsid w:val="00EF197D"/>
    <w:rsid w:val="00F36C9A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B4FB3"/>
  </w:style>
  <w:style w:type="character" w:customStyle="1" w:styleId="tag">
    <w:name w:val="tag"/>
    <w:basedOn w:val="Predvolenpsmoodseku"/>
    <w:rsid w:val="00AB4FB3"/>
  </w:style>
  <w:style w:type="paragraph" w:styleId="Odsekzoznamu">
    <w:name w:val="List Paragraph"/>
    <w:basedOn w:val="Normlny"/>
    <w:uiPriority w:val="34"/>
    <w:qFormat/>
    <w:rsid w:val="00A8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B4FB3"/>
  </w:style>
  <w:style w:type="character" w:customStyle="1" w:styleId="tag">
    <w:name w:val="tag"/>
    <w:basedOn w:val="Predvolenpsmoodseku"/>
    <w:rsid w:val="00AB4FB3"/>
  </w:style>
  <w:style w:type="paragraph" w:styleId="Odsekzoznamu">
    <w:name w:val="List Paragraph"/>
    <w:basedOn w:val="Normlny"/>
    <w:uiPriority w:val="34"/>
    <w:qFormat/>
    <w:rsid w:val="00A8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C26E-A347-4160-84A4-345BE9E9484C}"/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E39F8E-0835-4CF1-935E-BCFFBAF4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