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6C425C" w:rsidRDefault="00A27807">
      <w:pPr>
        <w:ind w:left="720"/>
        <w:jc w:val="center"/>
      </w:pPr>
      <w:r>
        <w:t>COURSE DESCRIPTION</w:t>
      </w:r>
    </w:p>
    <w:p w14:paraId="672A6659" w14:textId="77777777" w:rsidR="006C425C" w:rsidRDefault="006C425C">
      <w:pPr>
        <w:ind w:left="720"/>
        <w:jc w:val="center"/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6C425C" w14:paraId="7A2958E3" w14:textId="77777777" w:rsidTr="55074127">
        <w:tc>
          <w:tcPr>
            <w:tcW w:w="9322" w:type="dxa"/>
            <w:gridSpan w:val="2"/>
          </w:tcPr>
          <w:p w14:paraId="169BF999" w14:textId="77777777" w:rsidR="006C425C" w:rsidRDefault="00A27807">
            <w:pPr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6C425C" w14:paraId="14129AA2" w14:textId="77777777" w:rsidTr="55074127">
        <w:tc>
          <w:tcPr>
            <w:tcW w:w="9322" w:type="dxa"/>
            <w:gridSpan w:val="2"/>
          </w:tcPr>
          <w:p w14:paraId="5182F384" w14:textId="77777777" w:rsidR="006C425C" w:rsidRDefault="00A27807">
            <w:pPr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6C425C" w14:paraId="2B4ABD3F" w14:textId="77777777" w:rsidTr="55074127">
        <w:tc>
          <w:tcPr>
            <w:tcW w:w="4110" w:type="dxa"/>
          </w:tcPr>
          <w:p w14:paraId="370C70EB" w14:textId="7F5B7E4F" w:rsidR="006C425C" w:rsidRDefault="5AF9C1E3" w:rsidP="5AF9C1E3">
            <w:pPr>
              <w:rPr>
                <w:i/>
                <w:iCs/>
              </w:rPr>
            </w:pPr>
            <w:proofErr w:type="spellStart"/>
            <w:r w:rsidRPr="5AF9C1E3">
              <w:rPr>
                <w:b/>
                <w:bCs/>
              </w:rPr>
              <w:t>Code</w:t>
            </w:r>
            <w:proofErr w:type="spellEnd"/>
            <w:r w:rsidRPr="5AF9C1E3">
              <w:rPr>
                <w:b/>
                <w:bCs/>
              </w:rPr>
              <w:t>:</w:t>
            </w:r>
            <w:r>
              <w:t xml:space="preserve"> 1IUKR / UUREU / 22</w:t>
            </w:r>
          </w:p>
        </w:tc>
        <w:tc>
          <w:tcPr>
            <w:tcW w:w="5212" w:type="dxa"/>
          </w:tcPr>
          <w:p w14:paraId="69215F03" w14:textId="45F503F6" w:rsidR="006C425C" w:rsidRDefault="00A27807" w:rsidP="00A27807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: </w:t>
            </w:r>
            <w:bookmarkStart w:id="0" w:name="_GoBack"/>
            <w:proofErr w:type="spellStart"/>
            <w:r>
              <w:rPr>
                <w:b/>
              </w:rPr>
              <w:t>Ukrainian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Teachers</w:t>
            </w:r>
            <w:proofErr w:type="spellEnd"/>
            <w:r>
              <w:rPr>
                <w:b/>
              </w:rPr>
              <w:t xml:space="preserve"> </w:t>
            </w:r>
            <w:bookmarkEnd w:id="0"/>
            <w:r>
              <w:t>(P)</w:t>
            </w:r>
          </w:p>
        </w:tc>
      </w:tr>
      <w:tr w:rsidR="006C425C" w14:paraId="5E9820DB" w14:textId="77777777" w:rsidTr="55074127">
        <w:trPr>
          <w:trHeight w:val="983"/>
        </w:trPr>
        <w:tc>
          <w:tcPr>
            <w:tcW w:w="9322" w:type="dxa"/>
            <w:gridSpan w:val="2"/>
          </w:tcPr>
          <w:p w14:paraId="02A6B47F" w14:textId="77777777" w:rsidR="006C425C" w:rsidRDefault="00A27807"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3EE70061" w14:textId="77777777" w:rsidR="006C425C" w:rsidRDefault="00A27807">
            <w:pPr>
              <w:jc w:val="both"/>
            </w:pPr>
            <w:r>
              <w:t xml:space="preserve">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/ 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  <w:r>
              <w:t xml:space="preserve">,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semester: 13L / 13S.</w:t>
            </w:r>
          </w:p>
          <w:p w14:paraId="58410981" w14:textId="77777777" w:rsidR="006C425C" w:rsidRDefault="00A27807">
            <w:pPr>
              <w:jc w:val="both"/>
            </w:pPr>
            <w:proofErr w:type="spellStart"/>
            <w:r>
              <w:t>Combined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: </w:t>
            </w:r>
            <w:proofErr w:type="spellStart"/>
            <w:r>
              <w:t>face-to-face</w:t>
            </w:r>
            <w:proofErr w:type="spellEnd"/>
            <w:r>
              <w:t xml:space="preserve"> + </w:t>
            </w:r>
            <w:proofErr w:type="spellStart"/>
            <w:r>
              <w:t>distance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MS TEAMS, in </w:t>
            </w:r>
            <w:proofErr w:type="spellStart"/>
            <w:r>
              <w:t>respect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sending</w:t>
            </w:r>
            <w:proofErr w:type="spellEnd"/>
            <w:r>
              <w:t xml:space="preserve"> </w:t>
            </w:r>
            <w:proofErr w:type="spellStart"/>
            <w:r>
              <w:t>lectures</w:t>
            </w:r>
            <w:proofErr w:type="spellEnd"/>
            <w:r>
              <w:t xml:space="preserve">, </w:t>
            </w:r>
            <w:proofErr w:type="spellStart"/>
            <w:r>
              <w:t>online</w:t>
            </w:r>
            <w:proofErr w:type="spellEnd"/>
            <w:r>
              <w:t xml:space="preserve"> </w:t>
            </w:r>
            <w:proofErr w:type="spellStart"/>
            <w:r>
              <w:t>seminars</w:t>
            </w:r>
            <w:proofErr w:type="spellEnd"/>
            <w:r>
              <w:t>.</w:t>
            </w:r>
          </w:p>
        </w:tc>
      </w:tr>
      <w:tr w:rsidR="006C425C" w14:paraId="755CF00E" w14:textId="77777777" w:rsidTr="55074127">
        <w:trPr>
          <w:trHeight w:val="286"/>
        </w:trPr>
        <w:tc>
          <w:tcPr>
            <w:tcW w:w="9322" w:type="dxa"/>
            <w:gridSpan w:val="2"/>
          </w:tcPr>
          <w:p w14:paraId="3D474AD8" w14:textId="77777777" w:rsidR="006C425C" w:rsidRDefault="00A27807"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  <w:r>
              <w:t>2</w:t>
            </w:r>
          </w:p>
        </w:tc>
      </w:tr>
      <w:tr w:rsidR="006C425C" w14:paraId="00A2AE97" w14:textId="77777777" w:rsidTr="55074127">
        <w:tc>
          <w:tcPr>
            <w:tcW w:w="9322" w:type="dxa"/>
            <w:gridSpan w:val="2"/>
          </w:tcPr>
          <w:p w14:paraId="10878B7C" w14:textId="77777777" w:rsidR="006C425C" w:rsidRDefault="00A27807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 / 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2nd semester </w:t>
            </w:r>
            <w:proofErr w:type="spellStart"/>
            <w:r>
              <w:t>of</w:t>
            </w:r>
            <w:proofErr w:type="spellEnd"/>
            <w:r>
              <w:t xml:space="preserve"> study</w:t>
            </w:r>
          </w:p>
        </w:tc>
      </w:tr>
      <w:tr w:rsidR="006C425C" w14:paraId="63AF997A" w14:textId="77777777" w:rsidTr="55074127">
        <w:tc>
          <w:tcPr>
            <w:tcW w:w="9322" w:type="dxa"/>
            <w:gridSpan w:val="2"/>
          </w:tcPr>
          <w:p w14:paraId="2F804F8A" w14:textId="77777777" w:rsidR="006C425C" w:rsidRDefault="00A27807"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1. </w:t>
            </w:r>
          </w:p>
        </w:tc>
      </w:tr>
      <w:tr w:rsidR="006C425C" w14:paraId="5092205B" w14:textId="77777777" w:rsidTr="55074127">
        <w:tc>
          <w:tcPr>
            <w:tcW w:w="9322" w:type="dxa"/>
            <w:gridSpan w:val="2"/>
          </w:tcPr>
          <w:p w14:paraId="7DFB9F2F" w14:textId="77777777" w:rsidR="006C425C" w:rsidRDefault="55074127" w:rsidP="55074127">
            <w:pPr>
              <w:pStyle w:val="P68B1DB1-Normlny1"/>
              <w:rPr>
                <w:i/>
                <w:iCs/>
              </w:rPr>
            </w:pPr>
            <w:proofErr w:type="spellStart"/>
            <w:r w:rsidRPr="55074127">
              <w:rPr>
                <w:bCs/>
              </w:rPr>
              <w:t>Prerequisites</w:t>
            </w:r>
            <w:proofErr w:type="spellEnd"/>
            <w:r w:rsidRPr="55074127">
              <w:rPr>
                <w:bCs/>
              </w:rPr>
              <w:t>:</w:t>
            </w:r>
            <w:r>
              <w:t xml:space="preserve"> </w:t>
            </w:r>
          </w:p>
        </w:tc>
      </w:tr>
      <w:tr w:rsidR="006C425C" w14:paraId="13F35096" w14:textId="77777777" w:rsidTr="55074127">
        <w:tc>
          <w:tcPr>
            <w:tcW w:w="9322" w:type="dxa"/>
            <w:gridSpan w:val="2"/>
          </w:tcPr>
          <w:p w14:paraId="402B2EBA" w14:textId="77777777" w:rsidR="006C425C" w:rsidRDefault="00A27807">
            <w:pPr>
              <w:autoSpaceDE w:val="0"/>
              <w:autoSpaceDN w:val="0"/>
              <w:adjustRightInd w:val="0"/>
            </w:pPr>
            <w:proofErr w:type="spellStart"/>
            <w:r>
              <w:rPr>
                <w:b/>
              </w:rPr>
              <w:t>Conditions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1B3CAD5D" w14:textId="77777777" w:rsidR="006C425C" w:rsidRDefault="00A2780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seminars</w:t>
            </w:r>
            <w:proofErr w:type="spellEnd"/>
            <w:r>
              <w:t xml:space="preserve">. In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non-participation</w:t>
            </w:r>
            <w:proofErr w:type="spellEnd"/>
            <w:r>
              <w:t xml:space="preserve"> in </w:t>
            </w:r>
            <w:proofErr w:type="spellStart"/>
            <w:r>
              <w:t>seminars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prepares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>
              <w:t xml:space="preserve">.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colloquium</w:t>
            </w:r>
            <w:proofErr w:type="spellEnd"/>
            <w:r>
              <w:t xml:space="preserve"> and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credit</w:t>
            </w:r>
            <w:proofErr w:type="spellEnd"/>
            <w:r>
              <w:t xml:space="preserve"> </w:t>
            </w:r>
            <w:proofErr w:type="spellStart"/>
            <w:r>
              <w:t>week</w:t>
            </w:r>
            <w:proofErr w:type="spellEnd"/>
            <w:r>
              <w:t>.</w:t>
            </w:r>
          </w:p>
        </w:tc>
      </w:tr>
      <w:tr w:rsidR="006C425C" w14:paraId="25E51AD5" w14:textId="77777777" w:rsidTr="55074127">
        <w:tc>
          <w:tcPr>
            <w:tcW w:w="9322" w:type="dxa"/>
            <w:gridSpan w:val="2"/>
          </w:tcPr>
          <w:p w14:paraId="6986EBC2" w14:textId="77777777" w:rsidR="006C425C" w:rsidRDefault="00A2780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</w:rPr>
              <w:t>Learning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outcomes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1FB917AD" w14:textId="77777777" w:rsidR="006C425C" w:rsidRDefault="55074127" w:rsidP="55074127">
            <w:pPr>
              <w:pStyle w:val="P68B1DB1-Normlny1"/>
              <w:rPr>
                <w:bCs/>
              </w:rPr>
            </w:pPr>
            <w:proofErr w:type="spellStart"/>
            <w:r w:rsidRPr="55074127">
              <w:rPr>
                <w:bCs/>
              </w:rPr>
              <w:t>Knowledge</w:t>
            </w:r>
            <w:proofErr w:type="spellEnd"/>
          </w:p>
          <w:p w14:paraId="6E41A0E8" w14:textId="77777777" w:rsidR="006C425C" w:rsidRDefault="55074127" w:rsidP="55074127">
            <w:pPr>
              <w:pStyle w:val="P68B1DB1-Normlny2"/>
              <w:jc w:val="both"/>
              <w:rPr>
                <w:iCs/>
              </w:rPr>
            </w:pPr>
            <w:proofErr w:type="spellStart"/>
            <w:r w:rsidRPr="55074127">
              <w:rPr>
                <w:iCs/>
              </w:rPr>
              <w:t>After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completing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course</w:t>
            </w:r>
            <w:proofErr w:type="spellEnd"/>
            <w:r w:rsidRPr="55074127">
              <w:rPr>
                <w:iCs/>
              </w:rPr>
              <w:t xml:space="preserve">,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student</w:t>
            </w:r>
            <w:proofErr w:type="spellEnd"/>
            <w:r w:rsidRPr="55074127">
              <w:rPr>
                <w:iCs/>
              </w:rPr>
              <w:t xml:space="preserve"> has </w:t>
            </w:r>
            <w:proofErr w:type="spellStart"/>
            <w:r w:rsidRPr="55074127">
              <w:rPr>
                <w:iCs/>
              </w:rPr>
              <w:t>knowledge</w:t>
            </w:r>
            <w:proofErr w:type="spellEnd"/>
            <w:r w:rsidRPr="55074127">
              <w:rPr>
                <w:iCs/>
              </w:rPr>
              <w:t xml:space="preserve"> and </w:t>
            </w:r>
            <w:proofErr w:type="spellStart"/>
            <w:r w:rsidRPr="55074127">
              <w:rPr>
                <w:iCs/>
              </w:rPr>
              <w:t>an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overview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basic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historical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events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that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shaped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territory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Ukraine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into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its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current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form</w:t>
            </w:r>
            <w:proofErr w:type="spellEnd"/>
            <w:r w:rsidRPr="55074127">
              <w:rPr>
                <w:iCs/>
              </w:rPr>
              <w:t xml:space="preserve">.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graduate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able</w:t>
            </w:r>
            <w:proofErr w:type="spellEnd"/>
            <w:r w:rsidRPr="55074127">
              <w:rPr>
                <w:iCs/>
              </w:rPr>
              <w:t xml:space="preserve"> to </w:t>
            </w:r>
            <w:proofErr w:type="spellStart"/>
            <w:r w:rsidRPr="55074127">
              <w:rPr>
                <w:iCs/>
              </w:rPr>
              <w:t>identify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sources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information</w:t>
            </w:r>
            <w:proofErr w:type="spellEnd"/>
            <w:r w:rsidRPr="55074127">
              <w:rPr>
                <w:iCs/>
              </w:rPr>
              <w:t xml:space="preserve">. In </w:t>
            </w:r>
            <w:proofErr w:type="spellStart"/>
            <w:r w:rsidRPr="55074127">
              <w:rPr>
                <w:iCs/>
              </w:rPr>
              <w:t>addition</w:t>
            </w:r>
            <w:proofErr w:type="spellEnd"/>
            <w:r w:rsidRPr="55074127">
              <w:rPr>
                <w:iCs/>
              </w:rPr>
              <w:t xml:space="preserve"> to </w:t>
            </w:r>
            <w:proofErr w:type="spellStart"/>
            <w:r w:rsidRPr="55074127">
              <w:rPr>
                <w:iCs/>
              </w:rPr>
              <w:t>classic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book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sources</w:t>
            </w:r>
            <w:proofErr w:type="spellEnd"/>
            <w:r w:rsidRPr="55074127">
              <w:rPr>
                <w:iCs/>
              </w:rPr>
              <w:t xml:space="preserve">, </w:t>
            </w:r>
            <w:proofErr w:type="spellStart"/>
            <w:r w:rsidRPr="55074127">
              <w:rPr>
                <w:iCs/>
              </w:rPr>
              <w:t>he</w:t>
            </w:r>
            <w:proofErr w:type="spellEnd"/>
            <w:r w:rsidRPr="55074127">
              <w:rPr>
                <w:iCs/>
              </w:rPr>
              <w:t>/</w:t>
            </w:r>
            <w:proofErr w:type="spellStart"/>
            <w:r w:rsidRPr="55074127">
              <w:rPr>
                <w:iCs/>
              </w:rPr>
              <w:t>she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also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works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with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other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types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media</w:t>
            </w:r>
            <w:proofErr w:type="spellEnd"/>
            <w:r w:rsidRPr="55074127">
              <w:rPr>
                <w:iCs/>
              </w:rPr>
              <w:t xml:space="preserve"> (</w:t>
            </w:r>
            <w:proofErr w:type="spellStart"/>
            <w:r w:rsidRPr="55074127">
              <w:rPr>
                <w:iCs/>
              </w:rPr>
              <w:t>e-versions</w:t>
            </w:r>
            <w:proofErr w:type="spellEnd"/>
            <w:r w:rsidRPr="55074127">
              <w:rPr>
                <w:iCs/>
              </w:rPr>
              <w:t xml:space="preserve">, film </w:t>
            </w:r>
            <w:proofErr w:type="spellStart"/>
            <w:r w:rsidRPr="55074127">
              <w:rPr>
                <w:iCs/>
              </w:rPr>
              <w:t>documents</w:t>
            </w:r>
            <w:proofErr w:type="spellEnd"/>
            <w:r w:rsidRPr="55074127">
              <w:rPr>
                <w:iCs/>
              </w:rPr>
              <w:t xml:space="preserve">). </w:t>
            </w:r>
            <w:proofErr w:type="spellStart"/>
            <w:r w:rsidRPr="55074127">
              <w:rPr>
                <w:iCs/>
              </w:rPr>
              <w:t>He</w:t>
            </w:r>
            <w:proofErr w:type="spellEnd"/>
            <w:r w:rsidRPr="55074127">
              <w:rPr>
                <w:iCs/>
              </w:rPr>
              <w:t>/</w:t>
            </w:r>
            <w:proofErr w:type="spellStart"/>
            <w:r w:rsidRPr="55074127">
              <w:rPr>
                <w:iCs/>
              </w:rPr>
              <w:t>she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knows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work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credible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Ukrainian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as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well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as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foreign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historians</w:t>
            </w:r>
            <w:proofErr w:type="spellEnd"/>
            <w:r w:rsidRPr="55074127">
              <w:rPr>
                <w:iCs/>
              </w:rPr>
              <w:t xml:space="preserve">.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student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categorizes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knowledge</w:t>
            </w:r>
            <w:proofErr w:type="spellEnd"/>
            <w:r w:rsidRPr="55074127">
              <w:rPr>
                <w:iCs/>
              </w:rPr>
              <w:t xml:space="preserve"> base </w:t>
            </w:r>
            <w:proofErr w:type="spellStart"/>
            <w:r w:rsidRPr="55074127">
              <w:rPr>
                <w:iCs/>
              </w:rPr>
              <w:t>from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which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he</w:t>
            </w:r>
            <w:proofErr w:type="spellEnd"/>
            <w:r w:rsidRPr="55074127">
              <w:rPr>
                <w:iCs/>
              </w:rPr>
              <w:t xml:space="preserve"> or </w:t>
            </w:r>
            <w:proofErr w:type="spellStart"/>
            <w:r w:rsidRPr="55074127">
              <w:rPr>
                <w:iCs/>
              </w:rPr>
              <w:t>she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will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later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draw</w:t>
            </w:r>
            <w:proofErr w:type="spellEnd"/>
            <w:r w:rsidRPr="55074127">
              <w:rPr>
                <w:iCs/>
              </w:rPr>
              <w:t xml:space="preserve">, </w:t>
            </w:r>
            <w:proofErr w:type="spellStart"/>
            <w:r w:rsidRPr="55074127">
              <w:rPr>
                <w:iCs/>
              </w:rPr>
              <w:t>especially</w:t>
            </w:r>
            <w:proofErr w:type="spellEnd"/>
            <w:r w:rsidRPr="55074127">
              <w:rPr>
                <w:iCs/>
              </w:rPr>
              <w:t xml:space="preserve"> in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study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Ukrainian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literature</w:t>
            </w:r>
            <w:proofErr w:type="spellEnd"/>
            <w:r w:rsidRPr="55074127">
              <w:rPr>
                <w:iCs/>
              </w:rPr>
              <w:t xml:space="preserve"> and in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teaching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profession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student</w:t>
            </w:r>
            <w:proofErr w:type="spellEnd"/>
            <w:r w:rsidRPr="55074127">
              <w:rPr>
                <w:iCs/>
              </w:rPr>
              <w:t xml:space="preserve"> has </w:t>
            </w:r>
            <w:proofErr w:type="spellStart"/>
            <w:r w:rsidRPr="55074127">
              <w:rPr>
                <w:iCs/>
              </w:rPr>
              <w:t>knowledge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important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centres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political</w:t>
            </w:r>
            <w:proofErr w:type="spellEnd"/>
            <w:r w:rsidRPr="55074127">
              <w:rPr>
                <w:iCs/>
              </w:rPr>
              <w:t xml:space="preserve"> and </w:t>
            </w:r>
            <w:proofErr w:type="spellStart"/>
            <w:r w:rsidRPr="55074127">
              <w:rPr>
                <w:iCs/>
              </w:rPr>
              <w:t>cultural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life</w:t>
            </w:r>
            <w:proofErr w:type="spellEnd"/>
            <w:r w:rsidRPr="55074127">
              <w:rPr>
                <w:iCs/>
              </w:rPr>
              <w:t xml:space="preserve"> and </w:t>
            </w:r>
            <w:proofErr w:type="spellStart"/>
            <w:r w:rsidRPr="55074127">
              <w:rPr>
                <w:iCs/>
              </w:rPr>
              <w:t>social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life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Ukrainians</w:t>
            </w:r>
            <w:proofErr w:type="spellEnd"/>
            <w:r w:rsidRPr="55074127">
              <w:rPr>
                <w:iCs/>
              </w:rPr>
              <w:t xml:space="preserve">, </w:t>
            </w:r>
            <w:proofErr w:type="spellStart"/>
            <w:r w:rsidRPr="55074127">
              <w:rPr>
                <w:iCs/>
              </w:rPr>
              <w:t>as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well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as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realities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country </w:t>
            </w:r>
            <w:proofErr w:type="spellStart"/>
            <w:r w:rsidRPr="55074127">
              <w:rPr>
                <w:iCs/>
              </w:rPr>
              <w:t>whose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language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he</w:t>
            </w:r>
            <w:proofErr w:type="spellEnd"/>
            <w:r w:rsidRPr="55074127">
              <w:rPr>
                <w:iCs/>
              </w:rPr>
              <w:t>/</w:t>
            </w:r>
            <w:proofErr w:type="spellStart"/>
            <w:r w:rsidRPr="55074127">
              <w:rPr>
                <w:iCs/>
              </w:rPr>
              <w:t>she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studying</w:t>
            </w:r>
            <w:proofErr w:type="spellEnd"/>
            <w:r w:rsidRPr="55074127">
              <w:rPr>
                <w:iCs/>
              </w:rPr>
              <w:t xml:space="preserve">. </w:t>
            </w:r>
          </w:p>
          <w:p w14:paraId="1B35B51A" w14:textId="77777777" w:rsidR="006C425C" w:rsidRDefault="55074127" w:rsidP="55074127">
            <w:pPr>
              <w:pStyle w:val="P68B1DB1-Normlny1"/>
              <w:jc w:val="both"/>
              <w:rPr>
                <w:bCs/>
              </w:rPr>
            </w:pPr>
            <w:proofErr w:type="spellStart"/>
            <w:r w:rsidRPr="55074127">
              <w:rPr>
                <w:bCs/>
              </w:rPr>
              <w:t>Skills</w:t>
            </w:r>
            <w:proofErr w:type="spellEnd"/>
          </w:p>
          <w:p w14:paraId="5757BF12" w14:textId="77777777" w:rsidR="006C425C" w:rsidRDefault="55074127" w:rsidP="55074127">
            <w:pPr>
              <w:pStyle w:val="P68B1DB1-Normlny2"/>
              <w:jc w:val="both"/>
              <w:rPr>
                <w:iCs/>
              </w:rPr>
            </w:pP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student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this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discipline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able</w:t>
            </w:r>
            <w:proofErr w:type="spellEnd"/>
            <w:r w:rsidRPr="55074127">
              <w:rPr>
                <w:iCs/>
              </w:rPr>
              <w:t xml:space="preserve"> to </w:t>
            </w:r>
            <w:proofErr w:type="spellStart"/>
            <w:r w:rsidRPr="55074127">
              <w:rPr>
                <w:iCs/>
              </w:rPr>
              <w:t>autonomously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acquire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knowledge</w:t>
            </w:r>
            <w:proofErr w:type="spellEnd"/>
            <w:r w:rsidRPr="55074127">
              <w:rPr>
                <w:iCs/>
              </w:rPr>
              <w:t xml:space="preserve"> in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field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history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under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guidance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teacher</w:t>
            </w:r>
            <w:proofErr w:type="spellEnd"/>
            <w:r w:rsidRPr="55074127">
              <w:rPr>
                <w:iCs/>
              </w:rPr>
              <w:t xml:space="preserve"> and </w:t>
            </w:r>
            <w:proofErr w:type="spellStart"/>
            <w:r w:rsidRPr="55074127">
              <w:rPr>
                <w:iCs/>
              </w:rPr>
              <w:t>with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help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professional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literature</w:t>
            </w:r>
            <w:proofErr w:type="spellEnd"/>
            <w:r w:rsidRPr="55074127">
              <w:rPr>
                <w:iCs/>
              </w:rPr>
              <w:t xml:space="preserve">. </w:t>
            </w:r>
            <w:proofErr w:type="spellStart"/>
            <w:r w:rsidRPr="55074127">
              <w:rPr>
                <w:iCs/>
              </w:rPr>
              <w:t>Can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identify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problematic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places</w:t>
            </w:r>
            <w:proofErr w:type="spellEnd"/>
            <w:r w:rsidRPr="55074127">
              <w:rPr>
                <w:iCs/>
              </w:rPr>
              <w:t xml:space="preserve"> in </w:t>
            </w:r>
            <w:proofErr w:type="spellStart"/>
            <w:r w:rsidRPr="55074127">
              <w:rPr>
                <w:iCs/>
              </w:rPr>
              <w:t>historical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development</w:t>
            </w:r>
            <w:proofErr w:type="spellEnd"/>
            <w:r w:rsidRPr="55074127">
              <w:rPr>
                <w:iCs/>
              </w:rPr>
              <w:t xml:space="preserve">. </w:t>
            </w:r>
            <w:proofErr w:type="spellStart"/>
            <w:r w:rsidRPr="55074127">
              <w:rPr>
                <w:iCs/>
              </w:rPr>
              <w:t>He</w:t>
            </w:r>
            <w:proofErr w:type="spellEnd"/>
            <w:r w:rsidRPr="55074127">
              <w:rPr>
                <w:iCs/>
              </w:rPr>
              <w:t>/</w:t>
            </w:r>
            <w:proofErr w:type="spellStart"/>
            <w:r w:rsidRPr="55074127">
              <w:rPr>
                <w:iCs/>
              </w:rPr>
              <w:t>she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aware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harmfulness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dissemination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false</w:t>
            </w:r>
            <w:proofErr w:type="spellEnd"/>
            <w:r w:rsidRPr="55074127">
              <w:rPr>
                <w:iCs/>
              </w:rPr>
              <w:t xml:space="preserve">, </w:t>
            </w:r>
            <w:proofErr w:type="spellStart"/>
            <w:r w:rsidRPr="55074127">
              <w:rPr>
                <w:iCs/>
              </w:rPr>
              <w:t>hoax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information</w:t>
            </w:r>
            <w:proofErr w:type="spellEnd"/>
            <w:r w:rsidRPr="55074127">
              <w:rPr>
                <w:iCs/>
              </w:rPr>
              <w:t xml:space="preserve">, </w:t>
            </w:r>
            <w:proofErr w:type="spellStart"/>
            <w:r w:rsidRPr="55074127">
              <w:rPr>
                <w:iCs/>
              </w:rPr>
              <w:t>which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cause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conflicts</w:t>
            </w:r>
            <w:proofErr w:type="spellEnd"/>
            <w:r w:rsidRPr="55074127">
              <w:rPr>
                <w:iCs/>
              </w:rPr>
              <w:t xml:space="preserve"> on a </w:t>
            </w:r>
            <w:proofErr w:type="spellStart"/>
            <w:r w:rsidRPr="55074127">
              <w:rPr>
                <w:iCs/>
              </w:rPr>
              <w:t>global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scale</w:t>
            </w:r>
            <w:proofErr w:type="spellEnd"/>
            <w:r w:rsidRPr="55074127">
              <w:rPr>
                <w:iCs/>
              </w:rPr>
              <w:t xml:space="preserve">. </w:t>
            </w:r>
            <w:proofErr w:type="spellStart"/>
            <w:r w:rsidRPr="55074127">
              <w:rPr>
                <w:iCs/>
              </w:rPr>
              <w:t>He</w:t>
            </w:r>
            <w:proofErr w:type="spellEnd"/>
            <w:r w:rsidRPr="55074127">
              <w:rPr>
                <w:iCs/>
              </w:rPr>
              <w:t>/</w:t>
            </w:r>
            <w:proofErr w:type="spellStart"/>
            <w:r w:rsidRPr="55074127">
              <w:rPr>
                <w:iCs/>
              </w:rPr>
              <w:t>she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skilled</w:t>
            </w:r>
            <w:proofErr w:type="spellEnd"/>
            <w:r w:rsidRPr="55074127">
              <w:rPr>
                <w:iCs/>
              </w:rPr>
              <w:t xml:space="preserve"> in </w:t>
            </w:r>
            <w:proofErr w:type="spellStart"/>
            <w:r w:rsidRPr="55074127">
              <w:rPr>
                <w:iCs/>
              </w:rPr>
              <w:t>interpreting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historical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contexts</w:t>
            </w:r>
            <w:proofErr w:type="spellEnd"/>
            <w:r w:rsidRPr="55074127">
              <w:rPr>
                <w:iCs/>
              </w:rPr>
              <w:t xml:space="preserve"> and </w:t>
            </w:r>
            <w:proofErr w:type="spellStart"/>
            <w:r w:rsidRPr="55074127">
              <w:rPr>
                <w:iCs/>
              </w:rPr>
              <w:t>analyzing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their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impact</w:t>
            </w:r>
            <w:proofErr w:type="spellEnd"/>
            <w:r w:rsidRPr="55074127">
              <w:rPr>
                <w:iCs/>
              </w:rPr>
              <w:t xml:space="preserve"> on </w:t>
            </w:r>
            <w:proofErr w:type="spellStart"/>
            <w:r w:rsidRPr="55074127">
              <w:rPr>
                <w:iCs/>
              </w:rPr>
              <w:t>other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events</w:t>
            </w:r>
            <w:proofErr w:type="spellEnd"/>
            <w:r w:rsidRPr="55074127">
              <w:rPr>
                <w:iCs/>
              </w:rPr>
              <w:t>.</w:t>
            </w:r>
            <w:r>
              <w:t xml:space="preserve"> </w:t>
            </w:r>
          </w:p>
          <w:p w14:paraId="2692364D" w14:textId="77777777" w:rsidR="006C425C" w:rsidRDefault="00A27807">
            <w:pPr>
              <w:jc w:val="both"/>
              <w:rPr>
                <w:i/>
              </w:rPr>
            </w:pPr>
            <w:proofErr w:type="spellStart"/>
            <w:r>
              <w:rPr>
                <w:b/>
              </w:rPr>
              <w:t>Competences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7A4106E0" w14:textId="77777777" w:rsidR="006C425C" w:rsidRDefault="55074127" w:rsidP="55074127">
            <w:pPr>
              <w:pStyle w:val="P68B1DB1-Normlny2"/>
              <w:jc w:val="both"/>
              <w:rPr>
                <w:b/>
                <w:bCs/>
                <w:iCs/>
              </w:rPr>
            </w:pP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graduate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discipline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understands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need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for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lifelong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learning</w:t>
            </w:r>
            <w:proofErr w:type="spellEnd"/>
            <w:r w:rsidRPr="55074127">
              <w:rPr>
                <w:iCs/>
              </w:rPr>
              <w:t xml:space="preserve">, </w:t>
            </w:r>
            <w:proofErr w:type="spellStart"/>
            <w:r w:rsidRPr="55074127">
              <w:rPr>
                <w:iCs/>
              </w:rPr>
              <w:t>especially</w:t>
            </w:r>
            <w:proofErr w:type="spellEnd"/>
            <w:r w:rsidRPr="55074127">
              <w:rPr>
                <w:iCs/>
              </w:rPr>
              <w:t xml:space="preserve"> in </w:t>
            </w:r>
            <w:proofErr w:type="spellStart"/>
            <w:r w:rsidRPr="55074127">
              <w:rPr>
                <w:iCs/>
              </w:rPr>
              <w:t>terms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consolidating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basic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facts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history</w:t>
            </w:r>
            <w:proofErr w:type="spellEnd"/>
            <w:r w:rsidRPr="55074127">
              <w:rPr>
                <w:iCs/>
              </w:rPr>
              <w:t xml:space="preserve"> and </w:t>
            </w:r>
            <w:proofErr w:type="spellStart"/>
            <w:r w:rsidRPr="55074127">
              <w:rPr>
                <w:iCs/>
              </w:rPr>
              <w:t>culture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Ukraine</w:t>
            </w:r>
            <w:proofErr w:type="spellEnd"/>
            <w:r w:rsidRPr="55074127">
              <w:rPr>
                <w:iCs/>
              </w:rPr>
              <w:t xml:space="preserve"> and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Ukrainian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nation</w:t>
            </w:r>
            <w:proofErr w:type="spellEnd"/>
            <w:r w:rsidRPr="55074127">
              <w:rPr>
                <w:iCs/>
              </w:rPr>
              <w:t xml:space="preserve">.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graduate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forms</w:t>
            </w:r>
            <w:proofErr w:type="spellEnd"/>
            <w:r w:rsidRPr="55074127">
              <w:rPr>
                <w:iCs/>
              </w:rPr>
              <w:t xml:space="preserve"> a </w:t>
            </w:r>
            <w:proofErr w:type="spellStart"/>
            <w:r w:rsidRPr="55074127">
              <w:rPr>
                <w:iCs/>
              </w:rPr>
              <w:t>comprehensive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picture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> </w:t>
            </w:r>
            <w:proofErr w:type="spellStart"/>
            <w:r w:rsidRPr="55074127">
              <w:rPr>
                <w:iCs/>
              </w:rPr>
              <w:t>Ukraine</w:t>
            </w:r>
            <w:proofErr w:type="spellEnd"/>
            <w:r w:rsidRPr="55074127">
              <w:rPr>
                <w:iCs/>
              </w:rPr>
              <w:t xml:space="preserve">, </w:t>
            </w:r>
            <w:proofErr w:type="spellStart"/>
            <w:r w:rsidRPr="55074127">
              <w:rPr>
                <w:iCs/>
              </w:rPr>
              <w:t>its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history</w:t>
            </w:r>
            <w:proofErr w:type="spellEnd"/>
            <w:r w:rsidRPr="55074127">
              <w:rPr>
                <w:iCs/>
              </w:rPr>
              <w:t xml:space="preserve"> and </w:t>
            </w:r>
            <w:proofErr w:type="spellStart"/>
            <w:r w:rsidRPr="55074127">
              <w:rPr>
                <w:iCs/>
              </w:rPr>
              <w:t>culture</w:t>
            </w:r>
            <w:proofErr w:type="spellEnd"/>
            <w:r w:rsidRPr="55074127">
              <w:rPr>
                <w:iCs/>
              </w:rPr>
              <w:t xml:space="preserve">. </w:t>
            </w:r>
            <w:proofErr w:type="spellStart"/>
            <w:r w:rsidRPr="55074127">
              <w:rPr>
                <w:iCs/>
              </w:rPr>
              <w:t>He</w:t>
            </w:r>
            <w:proofErr w:type="spellEnd"/>
            <w:r w:rsidRPr="55074127">
              <w:rPr>
                <w:iCs/>
              </w:rPr>
              <w:t>/</w:t>
            </w:r>
            <w:proofErr w:type="spellStart"/>
            <w:r w:rsidRPr="55074127">
              <w:rPr>
                <w:iCs/>
              </w:rPr>
              <w:t>she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can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use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various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forms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resources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for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this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purpose</w:t>
            </w:r>
            <w:proofErr w:type="spellEnd"/>
            <w:r w:rsidRPr="55074127">
              <w:rPr>
                <w:iCs/>
              </w:rPr>
              <w:t xml:space="preserve">, </w:t>
            </w:r>
            <w:proofErr w:type="spellStart"/>
            <w:r w:rsidRPr="55074127">
              <w:rPr>
                <w:iCs/>
              </w:rPr>
              <w:t>including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media</w:t>
            </w:r>
            <w:proofErr w:type="spellEnd"/>
            <w:r w:rsidRPr="55074127">
              <w:rPr>
                <w:iCs/>
              </w:rPr>
              <w:t xml:space="preserve">. </w:t>
            </w:r>
            <w:proofErr w:type="spellStart"/>
            <w:r w:rsidRPr="55074127">
              <w:rPr>
                <w:iCs/>
              </w:rPr>
              <w:t>He</w:t>
            </w:r>
            <w:proofErr w:type="spellEnd"/>
            <w:r w:rsidRPr="55074127">
              <w:rPr>
                <w:iCs/>
              </w:rPr>
              <w:t>/</w:t>
            </w:r>
            <w:proofErr w:type="spellStart"/>
            <w:r w:rsidRPr="55074127">
              <w:rPr>
                <w:iCs/>
              </w:rPr>
              <w:t>she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ready</w:t>
            </w:r>
            <w:proofErr w:type="spellEnd"/>
            <w:r w:rsidRPr="55074127">
              <w:rPr>
                <w:iCs/>
              </w:rPr>
              <w:t xml:space="preserve"> to </w:t>
            </w:r>
            <w:proofErr w:type="spellStart"/>
            <w:r w:rsidRPr="55074127">
              <w:rPr>
                <w:iCs/>
              </w:rPr>
              <w:t>argue</w:t>
            </w:r>
            <w:proofErr w:type="spellEnd"/>
            <w:r w:rsidRPr="55074127">
              <w:rPr>
                <w:iCs/>
              </w:rPr>
              <w:t xml:space="preserve"> and </w:t>
            </w:r>
            <w:proofErr w:type="spellStart"/>
            <w:r w:rsidRPr="55074127">
              <w:rPr>
                <w:iCs/>
              </w:rPr>
              <w:t>engage</w:t>
            </w:r>
            <w:proofErr w:type="spellEnd"/>
            <w:r w:rsidRPr="55074127">
              <w:rPr>
                <w:iCs/>
              </w:rPr>
              <w:t xml:space="preserve"> in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social</w:t>
            </w:r>
            <w:proofErr w:type="spellEnd"/>
            <w:r w:rsidRPr="55074127">
              <w:rPr>
                <w:iCs/>
              </w:rPr>
              <w:t xml:space="preserve"> debate, </w:t>
            </w:r>
            <w:proofErr w:type="spellStart"/>
            <w:r w:rsidRPr="55074127">
              <w:rPr>
                <w:iCs/>
              </w:rPr>
              <w:t>as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it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also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necessary</w:t>
            </w:r>
            <w:proofErr w:type="spellEnd"/>
            <w:r w:rsidRPr="55074127">
              <w:rPr>
                <w:iCs/>
              </w:rPr>
              <w:t xml:space="preserve"> to </w:t>
            </w:r>
            <w:proofErr w:type="spellStart"/>
            <w:r w:rsidRPr="55074127">
              <w:rPr>
                <w:iCs/>
              </w:rPr>
              <w:t>know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historical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context</w:t>
            </w:r>
            <w:proofErr w:type="spellEnd"/>
            <w:r w:rsidRPr="55074127">
              <w:rPr>
                <w:iCs/>
              </w:rPr>
              <w:t xml:space="preserve"> in </w:t>
            </w:r>
            <w:proofErr w:type="spellStart"/>
            <w:r w:rsidRPr="55074127">
              <w:rPr>
                <w:iCs/>
              </w:rPr>
              <w:t>terms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current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events</w:t>
            </w:r>
            <w:proofErr w:type="spellEnd"/>
            <w:r w:rsidRPr="55074127">
              <w:rPr>
                <w:iCs/>
              </w:rPr>
              <w:t xml:space="preserve">. </w:t>
            </w:r>
            <w:proofErr w:type="spellStart"/>
            <w:r w:rsidRPr="55074127">
              <w:rPr>
                <w:iCs/>
              </w:rPr>
              <w:t>Knowledge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history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is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an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essential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competence</w:t>
            </w:r>
            <w:proofErr w:type="spellEnd"/>
            <w:r w:rsidRPr="55074127">
              <w:rPr>
                <w:iCs/>
              </w:rPr>
              <w:t xml:space="preserve"> in </w:t>
            </w:r>
            <w:proofErr w:type="spellStart"/>
            <w:r w:rsidRPr="55074127">
              <w:rPr>
                <w:iCs/>
              </w:rPr>
              <w:t>the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performance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of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teaching</w:t>
            </w:r>
            <w:proofErr w:type="spellEnd"/>
            <w:r w:rsidRPr="55074127">
              <w:rPr>
                <w:iCs/>
              </w:rPr>
              <w:t xml:space="preserve"> </w:t>
            </w:r>
            <w:proofErr w:type="spellStart"/>
            <w:r w:rsidRPr="55074127">
              <w:rPr>
                <w:iCs/>
              </w:rPr>
              <w:t>activities</w:t>
            </w:r>
            <w:proofErr w:type="spellEnd"/>
            <w:r w:rsidRPr="55074127">
              <w:rPr>
                <w:iCs/>
              </w:rPr>
              <w:t>.</w:t>
            </w:r>
          </w:p>
        </w:tc>
      </w:tr>
      <w:tr w:rsidR="006C425C" w14:paraId="65DC9708" w14:textId="77777777" w:rsidTr="55074127">
        <w:tc>
          <w:tcPr>
            <w:tcW w:w="9322" w:type="dxa"/>
            <w:gridSpan w:val="2"/>
          </w:tcPr>
          <w:p w14:paraId="6710AB6F" w14:textId="77777777" w:rsidR="006C425C" w:rsidRDefault="00A27807">
            <w:pPr>
              <w:jc w:val="both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Ukraine</w:t>
            </w:r>
            <w:proofErr w:type="spellEnd"/>
            <w:r>
              <w:t xml:space="preserve"> - </w:t>
            </w:r>
            <w:proofErr w:type="spellStart"/>
            <w:r>
              <w:t>ancient</w:t>
            </w:r>
            <w:proofErr w:type="spellEnd"/>
            <w:r>
              <w:t xml:space="preserve"> </w:t>
            </w:r>
            <w:proofErr w:type="spellStart"/>
            <w:r>
              <w:t>civilizations</w:t>
            </w:r>
            <w:proofErr w:type="spellEnd"/>
            <w:r>
              <w:t xml:space="preserve"> on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territory</w:t>
            </w:r>
            <w:proofErr w:type="spellEnd"/>
            <w:r>
              <w:t xml:space="preserve">. </w:t>
            </w:r>
            <w:proofErr w:type="spellStart"/>
            <w:r>
              <w:t>Kievan</w:t>
            </w:r>
            <w:proofErr w:type="spellEnd"/>
            <w:r>
              <w:t xml:space="preserve"> Rus -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state </w:t>
            </w:r>
            <w:proofErr w:type="spellStart"/>
            <w:r>
              <w:t>formation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Slavs</w:t>
            </w:r>
            <w:proofErr w:type="spellEnd"/>
            <w:r>
              <w:t xml:space="preserve">. </w:t>
            </w:r>
            <w:proofErr w:type="spellStart"/>
            <w:r>
              <w:t>Feudal</w:t>
            </w:r>
            <w:proofErr w:type="spellEnd"/>
            <w:r>
              <w:t xml:space="preserve"> </w:t>
            </w:r>
            <w:proofErr w:type="spellStart"/>
            <w:r>
              <w:t>fragmentation</w:t>
            </w:r>
            <w:proofErr w:type="spellEnd"/>
            <w:r>
              <w:t xml:space="preserve">. </w:t>
            </w:r>
            <w:proofErr w:type="spellStart"/>
            <w:r>
              <w:t>Kingdom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Galicia</w:t>
            </w:r>
            <w:proofErr w:type="spellEnd"/>
            <w:r>
              <w:t>–</w:t>
            </w:r>
            <w:proofErr w:type="spellStart"/>
            <w:r>
              <w:t>Volhynia</w:t>
            </w:r>
            <w:proofErr w:type="spellEnd"/>
            <w:r>
              <w:t xml:space="preserve">. </w:t>
            </w:r>
            <w:proofErr w:type="spellStart"/>
            <w:r>
              <w:t>Union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Brest.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Cossacks</w:t>
            </w:r>
            <w:proofErr w:type="spellEnd"/>
            <w:r>
              <w:t xml:space="preserve">. </w:t>
            </w:r>
            <w:proofErr w:type="spellStart"/>
            <w:r>
              <w:t>Zaporozhi</w:t>
            </w:r>
            <w:r>
              <w:t>an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. Bohdan </w:t>
            </w:r>
            <w:proofErr w:type="spellStart"/>
            <w:r>
              <w:t>Khmelnytsky</w:t>
            </w:r>
            <w:proofErr w:type="spellEnd"/>
            <w:r>
              <w:t xml:space="preserve">. </w:t>
            </w:r>
            <w:proofErr w:type="spellStart"/>
            <w:r>
              <w:t>Ukrainians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Russian</w:t>
            </w:r>
            <w:proofErr w:type="spellEnd"/>
            <w:r>
              <w:t xml:space="preserve"> </w:t>
            </w:r>
            <w:proofErr w:type="spellStart"/>
            <w:r>
              <w:t>Empire</w:t>
            </w:r>
            <w:proofErr w:type="spellEnd"/>
            <w:r>
              <w:t xml:space="preserve">. </w:t>
            </w:r>
            <w:proofErr w:type="spellStart"/>
            <w:r>
              <w:t>Ukrainians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Austro-Hungarian</w:t>
            </w:r>
            <w:proofErr w:type="spellEnd"/>
            <w:r>
              <w:t xml:space="preserve"> </w:t>
            </w:r>
            <w:proofErr w:type="spellStart"/>
            <w:r>
              <w:t>Monarchy</w:t>
            </w:r>
            <w:proofErr w:type="spellEnd"/>
            <w:r>
              <w:t xml:space="preserve">. </w:t>
            </w:r>
            <w:proofErr w:type="spellStart"/>
            <w:r>
              <w:t>Ukraine</w:t>
            </w:r>
            <w:proofErr w:type="spellEnd"/>
            <w:r>
              <w:t xml:space="preserve"> and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 xml:space="preserve"> I. 1922 - USSR. </w:t>
            </w:r>
            <w:proofErr w:type="spellStart"/>
            <w:r>
              <w:t>Famine</w:t>
            </w:r>
            <w:proofErr w:type="spellEnd"/>
            <w:r>
              <w:t xml:space="preserve"> in </w:t>
            </w:r>
            <w:proofErr w:type="spellStart"/>
            <w:r>
              <w:t>Ukraine</w:t>
            </w:r>
            <w:proofErr w:type="spellEnd"/>
            <w:r>
              <w:t xml:space="preserve"> 1932-33. </w:t>
            </w:r>
            <w:proofErr w:type="spellStart"/>
            <w:r>
              <w:t>Subcarpathian</w:t>
            </w:r>
            <w:proofErr w:type="spellEnd"/>
            <w:r>
              <w:t xml:space="preserve"> </w:t>
            </w:r>
            <w:proofErr w:type="spellStart"/>
            <w:r>
              <w:t>Ukraine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Czechoslovak</w:t>
            </w:r>
            <w:proofErr w:type="spellEnd"/>
            <w:r>
              <w:t xml:space="preserve"> </w:t>
            </w:r>
            <w:proofErr w:type="spellStart"/>
            <w:r>
              <w:t>Republic</w:t>
            </w:r>
            <w:proofErr w:type="spellEnd"/>
            <w:r>
              <w:t xml:space="preserve">.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 xml:space="preserve"> II. </w:t>
            </w:r>
            <w:proofErr w:type="spellStart"/>
            <w:r>
              <w:t>Post-war</w:t>
            </w:r>
            <w:proofErr w:type="spellEnd"/>
            <w:r>
              <w:t xml:space="preserve"> </w:t>
            </w:r>
            <w:proofErr w:type="spellStart"/>
            <w:r>
              <w:t>arrange</w:t>
            </w:r>
            <w:r>
              <w:t>ment</w:t>
            </w:r>
            <w:proofErr w:type="spellEnd"/>
            <w:r>
              <w:t xml:space="preserve">. </w:t>
            </w:r>
            <w:proofErr w:type="spellStart"/>
            <w:r>
              <w:t>Stalinist</w:t>
            </w:r>
            <w:proofErr w:type="spellEnd"/>
            <w:r>
              <w:t xml:space="preserve"> </w:t>
            </w:r>
            <w:proofErr w:type="spellStart"/>
            <w:r>
              <w:t>repressions</w:t>
            </w:r>
            <w:proofErr w:type="spellEnd"/>
            <w:r>
              <w:t xml:space="preserve">, </w:t>
            </w:r>
            <w:proofErr w:type="spellStart"/>
            <w:r>
              <w:t>Gulags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Khrushchev</w:t>
            </w:r>
            <w:proofErr w:type="spellEnd"/>
            <w:r>
              <w:t xml:space="preserve"> </w:t>
            </w:r>
            <w:proofErr w:type="spellStart"/>
            <w:r>
              <w:t>Thaw</w:t>
            </w:r>
            <w:proofErr w:type="spellEnd"/>
            <w:r>
              <w:t xml:space="preserve">. </w:t>
            </w:r>
            <w:proofErr w:type="spellStart"/>
            <w:r>
              <w:t>Chernobyl</w:t>
            </w:r>
            <w:proofErr w:type="spellEnd"/>
            <w:r>
              <w:t xml:space="preserve"> 1986. </w:t>
            </w:r>
            <w:proofErr w:type="spellStart"/>
            <w:r>
              <w:t>Dissolution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USSR, </w:t>
            </w:r>
            <w:proofErr w:type="spellStart"/>
            <w:r>
              <w:t>establishment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Ukraine</w:t>
            </w:r>
            <w:proofErr w:type="spellEnd"/>
            <w:r>
              <w:t xml:space="preserve"> 1991. Orange </w:t>
            </w:r>
            <w:proofErr w:type="spellStart"/>
            <w:r>
              <w:t>Revolution</w:t>
            </w:r>
            <w:proofErr w:type="spellEnd"/>
            <w:r>
              <w:t xml:space="preserve"> 2004. </w:t>
            </w:r>
            <w:proofErr w:type="spellStart"/>
            <w:r>
              <w:t>Euromaidan</w:t>
            </w:r>
            <w:proofErr w:type="spellEnd"/>
            <w:r>
              <w:t xml:space="preserve"> 2013/2014. </w:t>
            </w:r>
            <w:proofErr w:type="spellStart"/>
            <w:r>
              <w:t>Annexation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Crimea</w:t>
            </w:r>
            <w:proofErr w:type="spellEnd"/>
            <w:r>
              <w:t>.</w:t>
            </w:r>
          </w:p>
        </w:tc>
      </w:tr>
      <w:tr w:rsidR="006C425C" w14:paraId="7C8A121D" w14:textId="77777777" w:rsidTr="55074127">
        <w:tc>
          <w:tcPr>
            <w:tcW w:w="9322" w:type="dxa"/>
            <w:gridSpan w:val="2"/>
          </w:tcPr>
          <w:p w14:paraId="6F163926" w14:textId="77777777" w:rsidR="006C425C" w:rsidRDefault="00A27807">
            <w:pPr>
              <w:rPr>
                <w:i/>
              </w:rPr>
            </w:pPr>
            <w:proofErr w:type="spellStart"/>
            <w:r>
              <w:rPr>
                <w:b/>
              </w:rPr>
              <w:lastRenderedPageBreak/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literature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68541AAD" w14:textId="77777777" w:rsidR="006C425C" w:rsidRDefault="00A27807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Magočij</w:t>
            </w:r>
            <w:proofErr w:type="spellEnd"/>
            <w:r>
              <w:t xml:space="preserve">, P. R.: </w:t>
            </w:r>
            <w:proofErr w:type="spellStart"/>
            <w:r>
              <w:t>Istorija</w:t>
            </w:r>
            <w:proofErr w:type="spellEnd"/>
            <w:r>
              <w:t xml:space="preserve"> Ukrajiny. </w:t>
            </w:r>
            <w:proofErr w:type="spellStart"/>
            <w:r>
              <w:t>Kyjiv</w:t>
            </w:r>
            <w:proofErr w:type="spellEnd"/>
            <w:r>
              <w:t xml:space="preserve">. </w:t>
            </w:r>
            <w:proofErr w:type="spellStart"/>
            <w:r>
              <w:t>Krytyka</w:t>
            </w:r>
            <w:proofErr w:type="spellEnd"/>
            <w:r>
              <w:t>. 2007</w:t>
            </w:r>
          </w:p>
          <w:p w14:paraId="01E45AE5" w14:textId="77777777" w:rsidR="006C425C" w:rsidRDefault="00A27807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Magočij</w:t>
            </w:r>
            <w:proofErr w:type="spellEnd"/>
            <w:r>
              <w:t xml:space="preserve">, P. R.: Ukrajina. </w:t>
            </w:r>
            <w:proofErr w:type="spellStart"/>
            <w:r>
              <w:t>Istorija</w:t>
            </w:r>
            <w:proofErr w:type="spellEnd"/>
            <w:r>
              <w:t xml:space="preserve"> </w:t>
            </w:r>
            <w:proofErr w:type="spellStart"/>
            <w:r>
              <w:t>jiji</w:t>
            </w:r>
            <w:proofErr w:type="spellEnd"/>
            <w:r>
              <w:t xml:space="preserve"> </w:t>
            </w:r>
            <w:proofErr w:type="spellStart"/>
            <w:r>
              <w:t>zemel</w:t>
            </w:r>
            <w:proofErr w:type="spellEnd"/>
            <w:r>
              <w:t xml:space="preserve">' ta </w:t>
            </w:r>
            <w:proofErr w:type="spellStart"/>
            <w:r>
              <w:t>narodiv</w:t>
            </w:r>
            <w:proofErr w:type="spellEnd"/>
            <w:r>
              <w:t>. 2013.</w:t>
            </w:r>
          </w:p>
          <w:p w14:paraId="79DBFC4A" w14:textId="77777777" w:rsidR="006C425C" w:rsidRDefault="00A27807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Duleba</w:t>
            </w:r>
            <w:proofErr w:type="spellEnd"/>
            <w:r>
              <w:t>, A.: Ukrajina a Slovensko. Bratislava 2000.</w:t>
            </w:r>
          </w:p>
          <w:p w14:paraId="30BEB2FB" w14:textId="77777777" w:rsidR="006C425C" w:rsidRDefault="00A27807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Duleba</w:t>
            </w:r>
            <w:proofErr w:type="spellEnd"/>
            <w:r>
              <w:t xml:space="preserve">, A.: Rusko, Ukrajina a my. </w:t>
            </w:r>
            <w:proofErr w:type="spellStart"/>
            <w:r>
              <w:t>Premedia</w:t>
            </w:r>
            <w:proofErr w:type="spellEnd"/>
            <w:r>
              <w:t>. Bratislava 2016.</w:t>
            </w:r>
          </w:p>
          <w:p w14:paraId="627256F6" w14:textId="77777777" w:rsidR="006C425C" w:rsidRDefault="00A27807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Hrycak</w:t>
            </w:r>
            <w:proofErr w:type="spellEnd"/>
            <w:r>
              <w:t xml:space="preserve">, J.: </w:t>
            </w:r>
            <w:proofErr w:type="spellStart"/>
            <w:r>
              <w:t>Podolaty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r>
              <w:t>nule</w:t>
            </w:r>
            <w:proofErr w:type="spellEnd"/>
            <w:r>
              <w:t xml:space="preserve">: </w:t>
            </w:r>
            <w:proofErr w:type="spellStart"/>
            <w:r>
              <w:t>hlobaľna</w:t>
            </w:r>
            <w:proofErr w:type="spellEnd"/>
            <w:r>
              <w:t xml:space="preserve"> </w:t>
            </w:r>
            <w:proofErr w:type="spellStart"/>
            <w:r>
              <w:t>istorija</w:t>
            </w:r>
            <w:proofErr w:type="spellEnd"/>
            <w:r>
              <w:t xml:space="preserve"> Ukrajiny. </w:t>
            </w:r>
            <w:proofErr w:type="spellStart"/>
            <w:r>
              <w:t>Portal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 2021.</w:t>
            </w:r>
          </w:p>
          <w:p w14:paraId="13A77236" w14:textId="77777777" w:rsidR="006C425C" w:rsidRDefault="00A27807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Palij</w:t>
            </w:r>
            <w:proofErr w:type="spellEnd"/>
            <w:r>
              <w:t xml:space="preserve">, O.: </w:t>
            </w:r>
            <w:proofErr w:type="spellStart"/>
            <w:r>
              <w:t>Korotkyj</w:t>
            </w:r>
            <w:proofErr w:type="spellEnd"/>
            <w:r>
              <w:t xml:space="preserve"> </w:t>
            </w:r>
            <w:proofErr w:type="spellStart"/>
            <w:r>
              <w:t>narys</w:t>
            </w:r>
            <w:proofErr w:type="spellEnd"/>
            <w:r>
              <w:t xml:space="preserve"> </w:t>
            </w:r>
            <w:proofErr w:type="spellStart"/>
            <w:r>
              <w:t>istoriji</w:t>
            </w:r>
            <w:proofErr w:type="spellEnd"/>
            <w:r>
              <w:t xml:space="preserve"> Ukrajiny. </w:t>
            </w:r>
            <w:proofErr w:type="spellStart"/>
            <w:r>
              <w:t>Kyjiv</w:t>
            </w:r>
            <w:proofErr w:type="spellEnd"/>
            <w:r>
              <w:t>, 2018.</w:t>
            </w:r>
          </w:p>
          <w:p w14:paraId="19CF83EB" w14:textId="77777777" w:rsidR="006C425C" w:rsidRDefault="00A27807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Plochij</w:t>
            </w:r>
            <w:proofErr w:type="spellEnd"/>
            <w:r>
              <w:t xml:space="preserve">, S.: </w:t>
            </w:r>
            <w:proofErr w:type="spellStart"/>
            <w:r>
              <w:t>Brama</w:t>
            </w:r>
            <w:proofErr w:type="spellEnd"/>
            <w:r>
              <w:t xml:space="preserve"> </w:t>
            </w:r>
            <w:proofErr w:type="spellStart"/>
            <w:r>
              <w:t>Jevropy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, 2016</w:t>
            </w:r>
          </w:p>
          <w:p w14:paraId="754CDED5" w14:textId="77777777" w:rsidR="006C425C" w:rsidRDefault="00A27807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Plochij</w:t>
            </w:r>
            <w:proofErr w:type="spellEnd"/>
            <w:r>
              <w:t xml:space="preserve">, S.: </w:t>
            </w:r>
            <w:proofErr w:type="spellStart"/>
            <w:r>
              <w:t>Pochodžennja</w:t>
            </w:r>
            <w:proofErr w:type="spellEnd"/>
            <w:r>
              <w:t xml:space="preserve"> </w:t>
            </w:r>
            <w:proofErr w:type="spellStart"/>
            <w:r>
              <w:t>slovjanskych</w:t>
            </w:r>
            <w:proofErr w:type="spellEnd"/>
            <w:r>
              <w:t xml:space="preserve"> </w:t>
            </w:r>
            <w:proofErr w:type="spellStart"/>
            <w:r>
              <w:t>nacij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, 2015.</w:t>
            </w:r>
          </w:p>
          <w:p w14:paraId="7E6519C9" w14:textId="77777777" w:rsidR="006C425C" w:rsidRDefault="00A27807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Popovyč</w:t>
            </w:r>
            <w:proofErr w:type="spellEnd"/>
            <w:r>
              <w:t xml:space="preserve">, M.: </w:t>
            </w:r>
            <w:proofErr w:type="spellStart"/>
            <w:r>
              <w:t>Narys</w:t>
            </w:r>
            <w:proofErr w:type="spellEnd"/>
            <w:r>
              <w:t xml:space="preserve"> </w:t>
            </w:r>
            <w:proofErr w:type="spellStart"/>
            <w:r>
              <w:t>istoriji</w:t>
            </w:r>
            <w:proofErr w:type="spellEnd"/>
            <w:r>
              <w:t xml:space="preserve"> </w:t>
            </w:r>
            <w:proofErr w:type="spellStart"/>
            <w:r>
              <w:t>kuľtury</w:t>
            </w:r>
            <w:proofErr w:type="spellEnd"/>
            <w:r>
              <w:t xml:space="preserve"> Ukrajiny.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 2001.</w:t>
            </w:r>
          </w:p>
          <w:p w14:paraId="4B845878" w14:textId="77777777" w:rsidR="006C425C" w:rsidRDefault="00A27807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Rjabčuk</w:t>
            </w:r>
            <w:proofErr w:type="spellEnd"/>
            <w:r>
              <w:t xml:space="preserve">, M.: </w:t>
            </w:r>
            <w:proofErr w:type="spellStart"/>
            <w:r>
              <w:t>Postkoloniaľnyj</w:t>
            </w:r>
            <w:proofErr w:type="spellEnd"/>
            <w:r>
              <w:t xml:space="preserve"> </w:t>
            </w:r>
            <w:proofErr w:type="spellStart"/>
            <w:r>
              <w:t>syndrom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, 2013.</w:t>
            </w:r>
          </w:p>
          <w:p w14:paraId="3221089E" w14:textId="77777777" w:rsidR="006C425C" w:rsidRDefault="00A27807">
            <w:pPr>
              <w:pStyle w:val="Odsekzoznamu"/>
              <w:numPr>
                <w:ilvl w:val="0"/>
                <w:numId w:val="1"/>
              </w:numPr>
            </w:pPr>
            <w:r>
              <w:t>Roman, M.: Ukrajina. Základné fakty z dejín a súčasnosti. Prešov 2003.</w:t>
            </w:r>
          </w:p>
          <w:p w14:paraId="34F0359D" w14:textId="77777777" w:rsidR="006C425C" w:rsidRDefault="00A27807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Subteľnyj</w:t>
            </w:r>
            <w:proofErr w:type="spellEnd"/>
            <w:r>
              <w:t xml:space="preserve">, O.: Ukrajina. </w:t>
            </w:r>
            <w:proofErr w:type="spellStart"/>
            <w:r>
              <w:t>Istorija</w:t>
            </w:r>
            <w:proofErr w:type="spellEnd"/>
            <w:r>
              <w:t xml:space="preserve">.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Toronto</w:t>
            </w:r>
            <w:proofErr w:type="spellEnd"/>
            <w:r>
              <w:t xml:space="preserve"> Press. </w:t>
            </w:r>
            <w:proofErr w:type="spellStart"/>
            <w:r>
              <w:t>Kyjiv</w:t>
            </w:r>
            <w:proofErr w:type="spellEnd"/>
            <w:r>
              <w:t xml:space="preserve"> </w:t>
            </w:r>
            <w:proofErr w:type="spellStart"/>
            <w:r>
              <w:t>Lybiď</w:t>
            </w:r>
            <w:proofErr w:type="spellEnd"/>
            <w:r>
              <w:t xml:space="preserve"> 1991.</w:t>
            </w:r>
          </w:p>
          <w:p w14:paraId="61F7A30C" w14:textId="77777777" w:rsidR="006C425C" w:rsidRDefault="00A27807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Materialy</w:t>
            </w:r>
            <w:proofErr w:type="spellEnd"/>
            <w:r>
              <w:t xml:space="preserve"> </w:t>
            </w:r>
            <w:proofErr w:type="spellStart"/>
            <w:r>
              <w:t>mižnarodnoji</w:t>
            </w:r>
            <w:proofErr w:type="spellEnd"/>
            <w:r>
              <w:t xml:space="preserve"> </w:t>
            </w:r>
            <w:proofErr w:type="spellStart"/>
            <w:r>
              <w:t>naukovo-praktyčn</w:t>
            </w:r>
            <w:r>
              <w:t>oji</w:t>
            </w:r>
            <w:proofErr w:type="spellEnd"/>
            <w:r>
              <w:t xml:space="preserve"> </w:t>
            </w:r>
            <w:proofErr w:type="spellStart"/>
            <w:r>
              <w:t>konferenciji</w:t>
            </w:r>
            <w:proofErr w:type="spellEnd"/>
            <w:r>
              <w:t xml:space="preserve">: </w:t>
            </w:r>
            <w:proofErr w:type="spellStart"/>
            <w:r>
              <w:t>Holodomor</w:t>
            </w:r>
            <w:proofErr w:type="spellEnd"/>
            <w:r>
              <w:t xml:space="preserve"> 1932-1933 </w:t>
            </w:r>
            <w:proofErr w:type="spellStart"/>
            <w:r>
              <w:t>rokiv</w:t>
            </w:r>
            <w:proofErr w:type="spellEnd"/>
            <w:r>
              <w:t xml:space="preserve">: </w:t>
            </w:r>
            <w:proofErr w:type="spellStart"/>
            <w:r>
              <w:t>vtraty</w:t>
            </w:r>
            <w:proofErr w:type="spellEnd"/>
            <w:r>
              <w:t xml:space="preserve"> </w:t>
            </w:r>
            <w:proofErr w:type="spellStart"/>
            <w:r>
              <w:t>ukrajinskoji</w:t>
            </w:r>
            <w:proofErr w:type="spellEnd"/>
            <w:r>
              <w:t xml:space="preserve"> </w:t>
            </w:r>
            <w:proofErr w:type="spellStart"/>
            <w:r>
              <w:t>naciji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, 2017.</w:t>
            </w:r>
          </w:p>
        </w:tc>
      </w:tr>
      <w:tr w:rsidR="006C425C" w14:paraId="5997704C" w14:textId="77777777" w:rsidTr="55074127">
        <w:tc>
          <w:tcPr>
            <w:tcW w:w="9322" w:type="dxa"/>
            <w:gridSpan w:val="2"/>
          </w:tcPr>
          <w:p w14:paraId="6A5EB354" w14:textId="77777777" w:rsidR="006C425C" w:rsidRDefault="00A27807">
            <w:pPr>
              <w:rPr>
                <w:i/>
              </w:rPr>
            </w:pPr>
            <w:proofErr w:type="spell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course:</w:t>
            </w:r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6C425C" w14:paraId="7533B424" w14:textId="77777777" w:rsidTr="55074127">
        <w:tc>
          <w:tcPr>
            <w:tcW w:w="9322" w:type="dxa"/>
            <w:gridSpan w:val="2"/>
          </w:tcPr>
          <w:p w14:paraId="5FFB30A7" w14:textId="77777777" w:rsidR="006C425C" w:rsidRDefault="00A27807">
            <w:pPr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w:rsidR="006C425C" w14:paraId="7181C097" w14:textId="77777777" w:rsidTr="55074127">
        <w:tc>
          <w:tcPr>
            <w:tcW w:w="9322" w:type="dxa"/>
            <w:gridSpan w:val="2"/>
          </w:tcPr>
          <w:p w14:paraId="12CEC339" w14:textId="77777777" w:rsidR="006C425C" w:rsidRDefault="55074127" w:rsidP="55074127">
            <w:pPr>
              <w:pStyle w:val="P68B1DB1-Normlny1"/>
              <w:rPr>
                <w:bCs/>
              </w:rPr>
            </w:pPr>
            <w:proofErr w:type="spellStart"/>
            <w:r w:rsidRPr="55074127">
              <w:rPr>
                <w:bCs/>
              </w:rPr>
              <w:t>Course</w:t>
            </w:r>
            <w:proofErr w:type="spellEnd"/>
            <w:r w:rsidRPr="55074127">
              <w:rPr>
                <w:bCs/>
              </w:rPr>
              <w:t xml:space="preserve"> </w:t>
            </w:r>
            <w:proofErr w:type="spellStart"/>
            <w:r w:rsidRPr="55074127">
              <w:rPr>
                <w:bCs/>
              </w:rPr>
              <w:t>evaluation</w:t>
            </w:r>
            <w:proofErr w:type="spellEnd"/>
          </w:p>
          <w:p w14:paraId="537ED167" w14:textId="77777777" w:rsidR="006C425C" w:rsidRDefault="00A27807"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>: 13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6C425C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6C425C" w:rsidRDefault="00A27807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6C425C" w:rsidRDefault="00A27807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6C425C" w:rsidRDefault="00A27807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6C425C" w:rsidRDefault="00A27807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6C425C" w:rsidRDefault="00A27807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6C425C" w:rsidRDefault="00A27807">
                  <w:pPr>
                    <w:jc w:val="center"/>
                  </w:pPr>
                  <w:r>
                    <w:t>FX</w:t>
                  </w:r>
                </w:p>
              </w:tc>
            </w:tr>
            <w:tr w:rsidR="006C425C" w14:paraId="7275268B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39CC1" w14:textId="77777777" w:rsidR="006C425C" w:rsidRDefault="00A27807">
                  <w:pPr>
                    <w:jc w:val="center"/>
                  </w:pPr>
                  <w:r>
                    <w:t>38%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8702E" w14:textId="77777777" w:rsidR="006C425C" w:rsidRDefault="00A27807">
                  <w:pPr>
                    <w:jc w:val="center"/>
                  </w:pPr>
                  <w:r>
                    <w:t>31%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14B93" w14:textId="77777777" w:rsidR="006C425C" w:rsidRDefault="00A27807">
                  <w:pPr>
                    <w:jc w:val="center"/>
                  </w:pPr>
                  <w: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8C83E" w14:textId="77777777" w:rsidR="006C425C" w:rsidRDefault="00A27807">
                  <w:pPr>
                    <w:jc w:val="center"/>
                  </w:pPr>
                  <w: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A4D56" w14:textId="77777777" w:rsidR="006C425C" w:rsidRDefault="00A27807">
                  <w:pPr>
                    <w:jc w:val="center"/>
                  </w:pPr>
                  <w: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F9CC1" w14:textId="77777777" w:rsidR="006C425C" w:rsidRDefault="00A27807">
                  <w:pPr>
                    <w:jc w:val="center"/>
                  </w:pPr>
                  <w:r>
                    <w:t>31%</w:t>
                  </w:r>
                </w:p>
              </w:tc>
            </w:tr>
          </w:tbl>
          <w:p w14:paraId="0A37501D" w14:textId="77777777" w:rsidR="006C425C" w:rsidRDefault="006C425C">
            <w:pPr>
              <w:rPr>
                <w:i/>
              </w:rPr>
            </w:pPr>
          </w:p>
        </w:tc>
      </w:tr>
      <w:tr w:rsidR="006C425C" w14:paraId="2E8D7AE9" w14:textId="77777777" w:rsidTr="55074127">
        <w:tc>
          <w:tcPr>
            <w:tcW w:w="9322" w:type="dxa"/>
            <w:gridSpan w:val="2"/>
          </w:tcPr>
          <w:p w14:paraId="1FC39123" w14:textId="77777777" w:rsidR="006C425C" w:rsidRDefault="00A27807">
            <w:pPr>
              <w:tabs>
                <w:tab w:val="left" w:pos="1530"/>
              </w:tabs>
            </w:pPr>
            <w:proofErr w:type="spellStart"/>
            <w:r>
              <w:rPr>
                <w:b/>
              </w:rPr>
              <w:t>Lecturers</w:t>
            </w:r>
            <w:proofErr w:type="spellEnd"/>
            <w:r>
              <w:rPr>
                <w:b/>
              </w:rPr>
              <w:t>:</w:t>
            </w:r>
            <w:r>
              <w:t xml:space="preserve">  </w:t>
            </w:r>
            <w:r>
              <w:rPr>
                <w:color w:val="1F2528"/>
                <w:shd w:val="clear" w:color="auto" w:fill="FFFFFF"/>
              </w:rPr>
              <w:t>PhDr. Adriana Amir, PhD.</w:t>
            </w:r>
            <w:r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  <w:tr w:rsidR="006C425C" w14:paraId="2717AD64" w14:textId="77777777" w:rsidTr="55074127">
        <w:tc>
          <w:tcPr>
            <w:tcW w:w="9322" w:type="dxa"/>
            <w:gridSpan w:val="2"/>
          </w:tcPr>
          <w:p w14:paraId="5FA3B338" w14:textId="77777777" w:rsidR="006C425C" w:rsidRDefault="00A27807">
            <w:pPr>
              <w:tabs>
                <w:tab w:val="left" w:pos="1530"/>
              </w:tabs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change</w:t>
            </w:r>
            <w:proofErr w:type="spellEnd"/>
            <w:r>
              <w:rPr>
                <w:b/>
              </w:rPr>
              <w:t>:</w:t>
            </w:r>
            <w:r>
              <w:t xml:space="preserve"> 24.1.2022</w:t>
            </w:r>
          </w:p>
        </w:tc>
      </w:tr>
      <w:tr w:rsidR="006C425C" w14:paraId="7AEBA37A" w14:textId="77777777" w:rsidTr="55074127">
        <w:tc>
          <w:tcPr>
            <w:tcW w:w="9322" w:type="dxa"/>
            <w:gridSpan w:val="2"/>
          </w:tcPr>
          <w:p w14:paraId="2746DFC3" w14:textId="77777777" w:rsidR="006C425C" w:rsidRDefault="00A27807">
            <w:pPr>
              <w:tabs>
                <w:tab w:val="left" w:pos="1530"/>
              </w:tabs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</w:t>
            </w:r>
            <w:r>
              <w:rPr>
                <w:color w:val="1F2528"/>
                <w:shd w:val="clear" w:color="auto" w:fill="FFFFFF"/>
              </w:rPr>
              <w:t>Prof. PhDr. Mária Čižmárová, CSc.</w:t>
            </w:r>
            <w:r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</w:tbl>
    <w:p w14:paraId="5DAB6C7B" w14:textId="77777777" w:rsidR="006C425C" w:rsidRDefault="006C425C">
      <w:pPr>
        <w:jc w:val="both"/>
      </w:pPr>
    </w:p>
    <w:p w14:paraId="02EB378F" w14:textId="77777777" w:rsidR="006C425C" w:rsidRDefault="006C425C"/>
    <w:sectPr w:rsidR="006C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B5CC0"/>
    <w:multiLevelType w:val="hybridMultilevel"/>
    <w:tmpl w:val="088C302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E2B00FC"/>
    <w:multiLevelType w:val="hybridMultilevel"/>
    <w:tmpl w:val="72A480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1C"/>
    <w:rsid w:val="0006495E"/>
    <w:rsid w:val="00095C70"/>
    <w:rsid w:val="003518FC"/>
    <w:rsid w:val="003A3DD6"/>
    <w:rsid w:val="003D64C4"/>
    <w:rsid w:val="006C425C"/>
    <w:rsid w:val="007D3686"/>
    <w:rsid w:val="0087321C"/>
    <w:rsid w:val="008D1291"/>
    <w:rsid w:val="00A27807"/>
    <w:rsid w:val="00A66699"/>
    <w:rsid w:val="00B226F1"/>
    <w:rsid w:val="00C736E6"/>
    <w:rsid w:val="00D37D5D"/>
    <w:rsid w:val="00E67A98"/>
    <w:rsid w:val="00EB1701"/>
    <w:rsid w:val="094AAD07"/>
    <w:rsid w:val="257E1E0E"/>
    <w:rsid w:val="51CFA065"/>
    <w:rsid w:val="55074127"/>
    <w:rsid w:val="5AF9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B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26F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4">
    <w:name w:val="heading 4"/>
    <w:basedOn w:val="Normlny"/>
    <w:link w:val="Nadpis4Char"/>
    <w:uiPriority w:val="9"/>
    <w:qFormat/>
    <w:rsid w:val="0006495E"/>
    <w:pPr>
      <w:spacing w:before="100" w:beforeAutospacing="1" w:after="100" w:afterAutospacing="1"/>
      <w:outlineLvl w:val="3"/>
    </w:pPr>
    <w:rPr>
      <w:b/>
    </w:rPr>
  </w:style>
  <w:style w:type="paragraph" w:styleId="Nadpis5">
    <w:name w:val="heading 5"/>
    <w:basedOn w:val="Normlny"/>
    <w:link w:val="Nadpis5Char"/>
    <w:uiPriority w:val="9"/>
    <w:qFormat/>
    <w:rsid w:val="0006495E"/>
    <w:pPr>
      <w:spacing w:before="100" w:beforeAutospacing="1" w:after="100" w:afterAutospacing="1"/>
      <w:outlineLvl w:val="4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226F1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B226F1"/>
    <w:rPr>
      <w:rFonts w:cs="Times New Roman"/>
    </w:rPr>
  </w:style>
  <w:style w:type="paragraph" w:styleId="Odsekzoznamu">
    <w:name w:val="List Paragraph"/>
    <w:basedOn w:val="Normlny"/>
    <w:uiPriority w:val="34"/>
    <w:qFormat/>
    <w:rsid w:val="00A66699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06495E"/>
    <w:rPr>
      <w:rFonts w:ascii="Times New Roman" w:eastAsia="Times New Roman" w:hAnsi="Times New Roman" w:cs="Times New Roman"/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06495E"/>
    <w:rPr>
      <w:rFonts w:ascii="Times New Roman" w:eastAsia="Times New Roman" w:hAnsi="Times New Roman" w:cs="Times New Roman"/>
      <w:b/>
      <w:sz w:val="20"/>
    </w:rPr>
  </w:style>
  <w:style w:type="character" w:customStyle="1" w:styleId="c-indicatorsliderow">
    <w:name w:val="c-indicator_slide_row"/>
    <w:basedOn w:val="Predvolenpsmoodseku"/>
    <w:rsid w:val="0006495E"/>
  </w:style>
  <w:style w:type="character" w:customStyle="1" w:styleId="c-indicatortitle">
    <w:name w:val="c-indicator_title"/>
    <w:basedOn w:val="Predvolenpsmoodseku"/>
    <w:rsid w:val="0006495E"/>
  </w:style>
  <w:style w:type="character" w:styleId="Hypertextovprepojenie">
    <w:name w:val="Hyperlink"/>
    <w:basedOn w:val="Predvolenpsmoodseku"/>
    <w:uiPriority w:val="99"/>
    <w:semiHidden/>
    <w:unhideWhenUsed/>
    <w:rsid w:val="0006495E"/>
    <w:rPr>
      <w:color w:val="0000FF"/>
      <w:u w:val="single"/>
    </w:rPr>
  </w:style>
  <w:style w:type="character" w:customStyle="1" w:styleId="wishedusers">
    <w:name w:val="wished_users"/>
    <w:basedOn w:val="Predvolenpsmoodseku"/>
    <w:rsid w:val="0006495E"/>
  </w:style>
  <w:style w:type="paragraph" w:styleId="Textbubliny">
    <w:name w:val="Balloon Text"/>
    <w:basedOn w:val="Normlny"/>
    <w:link w:val="TextbublinyChar"/>
    <w:uiPriority w:val="99"/>
    <w:semiHidden/>
    <w:unhideWhenUsed/>
    <w:rsid w:val="0006495E"/>
    <w:rPr>
      <w:rFonts w:ascii="Tahoma" w:hAnsi="Tahoma" w:cs="Tahoma"/>
      <w:sz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95E"/>
    <w:rPr>
      <w:rFonts w:ascii="Tahoma" w:eastAsia="Times New Roman" w:hAnsi="Tahoma" w:cs="Tahoma"/>
      <w:sz w:val="16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26F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4">
    <w:name w:val="heading 4"/>
    <w:basedOn w:val="Normlny"/>
    <w:link w:val="Nadpis4Char"/>
    <w:uiPriority w:val="9"/>
    <w:qFormat/>
    <w:rsid w:val="0006495E"/>
    <w:pPr>
      <w:spacing w:before="100" w:beforeAutospacing="1" w:after="100" w:afterAutospacing="1"/>
      <w:outlineLvl w:val="3"/>
    </w:pPr>
    <w:rPr>
      <w:b/>
    </w:rPr>
  </w:style>
  <w:style w:type="paragraph" w:styleId="Nadpis5">
    <w:name w:val="heading 5"/>
    <w:basedOn w:val="Normlny"/>
    <w:link w:val="Nadpis5Char"/>
    <w:uiPriority w:val="9"/>
    <w:qFormat/>
    <w:rsid w:val="0006495E"/>
    <w:pPr>
      <w:spacing w:before="100" w:beforeAutospacing="1" w:after="100" w:afterAutospacing="1"/>
      <w:outlineLvl w:val="4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226F1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B226F1"/>
    <w:rPr>
      <w:rFonts w:cs="Times New Roman"/>
    </w:rPr>
  </w:style>
  <w:style w:type="paragraph" w:styleId="Odsekzoznamu">
    <w:name w:val="List Paragraph"/>
    <w:basedOn w:val="Normlny"/>
    <w:uiPriority w:val="34"/>
    <w:qFormat/>
    <w:rsid w:val="00A66699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06495E"/>
    <w:rPr>
      <w:rFonts w:ascii="Times New Roman" w:eastAsia="Times New Roman" w:hAnsi="Times New Roman" w:cs="Times New Roman"/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06495E"/>
    <w:rPr>
      <w:rFonts w:ascii="Times New Roman" w:eastAsia="Times New Roman" w:hAnsi="Times New Roman" w:cs="Times New Roman"/>
      <w:b/>
      <w:sz w:val="20"/>
    </w:rPr>
  </w:style>
  <w:style w:type="character" w:customStyle="1" w:styleId="c-indicatorsliderow">
    <w:name w:val="c-indicator_slide_row"/>
    <w:basedOn w:val="Predvolenpsmoodseku"/>
    <w:rsid w:val="0006495E"/>
  </w:style>
  <w:style w:type="character" w:customStyle="1" w:styleId="c-indicatortitle">
    <w:name w:val="c-indicator_title"/>
    <w:basedOn w:val="Predvolenpsmoodseku"/>
    <w:rsid w:val="0006495E"/>
  </w:style>
  <w:style w:type="character" w:styleId="Hypertextovprepojenie">
    <w:name w:val="Hyperlink"/>
    <w:basedOn w:val="Predvolenpsmoodseku"/>
    <w:uiPriority w:val="99"/>
    <w:semiHidden/>
    <w:unhideWhenUsed/>
    <w:rsid w:val="0006495E"/>
    <w:rPr>
      <w:color w:val="0000FF"/>
      <w:u w:val="single"/>
    </w:rPr>
  </w:style>
  <w:style w:type="character" w:customStyle="1" w:styleId="wishedusers">
    <w:name w:val="wished_users"/>
    <w:basedOn w:val="Predvolenpsmoodseku"/>
    <w:rsid w:val="0006495E"/>
  </w:style>
  <w:style w:type="paragraph" w:styleId="Textbubliny">
    <w:name w:val="Balloon Text"/>
    <w:basedOn w:val="Normlny"/>
    <w:link w:val="TextbublinyChar"/>
    <w:uiPriority w:val="99"/>
    <w:semiHidden/>
    <w:unhideWhenUsed/>
    <w:rsid w:val="0006495E"/>
    <w:rPr>
      <w:rFonts w:ascii="Tahoma" w:hAnsi="Tahoma" w:cs="Tahoma"/>
      <w:sz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95E"/>
    <w:rPr>
      <w:rFonts w:ascii="Tahoma" w:eastAsia="Times New Roman" w:hAnsi="Tahoma" w:cs="Tahoma"/>
      <w:sz w:val="16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5FAA-70C0-4153-A9E0-E4150759345C}"/>
</file>

<file path=customXml/itemProps2.xml><?xml version="1.0" encoding="utf-8"?>
<ds:datastoreItem xmlns:ds="http://schemas.openxmlformats.org/officeDocument/2006/customXml" ds:itemID="{5043AA6F-4C21-4FA6-948E-F90B9581C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123CC-2B94-49DD-9CF8-329D53F65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</Words>
  <Characters>3817</Characters>
  <Application>Microsoft Office Word</Application>
  <DocSecurity>0</DocSecurity>
  <Lines>31</Lines>
  <Paragraphs>8</Paragraphs>
  <ScaleCrop>false</ScaleCrop>
  <Company>HP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2022-02-10T08:31:00Z</cp:lastPrinted>
  <dcterms:created xsi:type="dcterms:W3CDTF">2022-01-19T09:04:00Z</dcterms:created>
  <dcterms:modified xsi:type="dcterms:W3CDTF">2022-03-01T09:16:00Z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