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8B4D51" w:rsidRDefault="00B679D0">
      <w:pPr>
        <w:ind w:left="720"/>
        <w:jc w:val="center"/>
      </w:pPr>
      <w:r>
        <w:t>COURSE DESCRIPTION</w:t>
      </w:r>
    </w:p>
    <w:p w14:paraId="672A6659" w14:textId="77777777" w:rsidR="008B4D51" w:rsidRDefault="008B4D51">
      <w:pPr>
        <w:ind w:left="720"/>
        <w:jc w:val="center"/>
      </w:pPr>
    </w:p>
    <w:tbl>
      <w:tblPr>
        <w:tblStyle w:val="Mriekatabuky"/>
        <w:tblW w:w="9322" w:type="dxa"/>
        <w:tblLook w:val="00A0" w:firstRow="1" w:lastRow="0" w:firstColumn="1" w:lastColumn="0" w:noHBand="0" w:noVBand="0"/>
      </w:tblPr>
      <w:tblGrid>
        <w:gridCol w:w="4110"/>
        <w:gridCol w:w="5212"/>
      </w:tblGrid>
      <w:tr w:rsidR="008B4D51" w14:paraId="654726A2" w14:textId="77777777" w:rsidTr="72641808">
        <w:tc>
          <w:tcPr>
            <w:tcW w:w="9322" w:type="dxa"/>
            <w:gridSpan w:val="2"/>
          </w:tcPr>
          <w:p w14:paraId="637A4064" w14:textId="77777777" w:rsidR="008B4D51" w:rsidRDefault="00B679D0">
            <w:pPr>
              <w:rPr>
                <w:i/>
              </w:rPr>
            </w:pPr>
            <w:r>
              <w:rPr>
                <w:b/>
              </w:rPr>
              <w:t>University:</w:t>
            </w:r>
            <w:r>
              <w:t xml:space="preserve"> </w:t>
            </w:r>
            <w:r>
              <w:rPr>
                <w:i/>
              </w:rPr>
              <w:t>University of Presov</w:t>
            </w:r>
          </w:p>
        </w:tc>
      </w:tr>
      <w:tr w:rsidR="008B4D51" w14:paraId="14129AA2" w14:textId="77777777" w:rsidTr="72641808">
        <w:tc>
          <w:tcPr>
            <w:tcW w:w="9322" w:type="dxa"/>
            <w:gridSpan w:val="2"/>
          </w:tcPr>
          <w:p w14:paraId="5182F384" w14:textId="77777777" w:rsidR="008B4D51" w:rsidRDefault="00B679D0">
            <w:pPr>
              <w:rPr>
                <w:i/>
              </w:rPr>
            </w:pPr>
            <w:r>
              <w:rPr>
                <w:b/>
              </w:rPr>
              <w:t>Faculty:</w:t>
            </w:r>
            <w:r>
              <w:t xml:space="preserve"> Faculty of Arts</w:t>
            </w:r>
          </w:p>
        </w:tc>
      </w:tr>
      <w:tr w:rsidR="008B4D51" w14:paraId="49344072" w14:textId="77777777" w:rsidTr="72641808">
        <w:tc>
          <w:tcPr>
            <w:tcW w:w="4110" w:type="dxa"/>
          </w:tcPr>
          <w:p w14:paraId="02CF95C1" w14:textId="77777777" w:rsidR="008B4D51" w:rsidRDefault="00B679D0">
            <w:pPr>
              <w:rPr>
                <w:i/>
              </w:rPr>
            </w:pPr>
            <w:r>
              <w:rPr>
                <w:b/>
              </w:rPr>
              <w:t>Code: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>1IUKR/ UUKDI/22</w:t>
            </w:r>
          </w:p>
        </w:tc>
        <w:tc>
          <w:tcPr>
            <w:tcW w:w="5212" w:type="dxa"/>
          </w:tcPr>
          <w:p w14:paraId="0C70A2E5" w14:textId="3D46572F" w:rsidR="008B4D51" w:rsidRDefault="00B679D0" w:rsidP="72641808">
            <w:pPr>
              <w:pStyle w:val="P68B1DB1-Normlny1"/>
              <w:jc w:val="both"/>
              <w:rPr>
                <w:bCs/>
              </w:rPr>
            </w:pPr>
            <w:r>
              <w:rPr>
                <w:bCs/>
              </w:rPr>
              <w:t xml:space="preserve">Course title: </w:t>
            </w:r>
            <w:bookmarkStart w:id="0" w:name="_GoBack"/>
            <w:r>
              <w:rPr>
                <w:bCs/>
              </w:rPr>
              <w:t xml:space="preserve">Ukrainian </w:t>
            </w:r>
            <w:proofErr w:type="spellStart"/>
            <w:r>
              <w:rPr>
                <w:bCs/>
              </w:rPr>
              <w:t>D</w:t>
            </w:r>
            <w:r w:rsidR="72641808" w:rsidRPr="72641808">
              <w:rPr>
                <w:bCs/>
              </w:rPr>
              <w:t>ialectology</w:t>
            </w:r>
            <w:proofErr w:type="spellEnd"/>
            <w:r w:rsidR="72641808" w:rsidRPr="72641808">
              <w:rPr>
                <w:bCs/>
              </w:rPr>
              <w:t xml:space="preserve"> </w:t>
            </w:r>
            <w:bookmarkEnd w:id="0"/>
            <w:r w:rsidR="72641808" w:rsidRPr="72641808">
              <w:rPr>
                <w:bCs/>
              </w:rPr>
              <w:t>(P)</w:t>
            </w:r>
          </w:p>
        </w:tc>
      </w:tr>
      <w:tr w:rsidR="008B4D51" w14:paraId="7469DB81" w14:textId="77777777" w:rsidTr="72641808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8B4D51" w:rsidRDefault="00B679D0">
            <w:r>
              <w:rPr>
                <w:b/>
              </w:rPr>
              <w:t>Type, scope and method of educational activity:</w:t>
            </w:r>
            <w:r>
              <w:t xml:space="preserve"> </w:t>
            </w:r>
          </w:p>
          <w:p w14:paraId="5370F1DA" w14:textId="77777777" w:rsidR="008B4D51" w:rsidRDefault="00B679D0">
            <w:r>
              <w:t>1 hour seminar.</w:t>
            </w:r>
          </w:p>
        </w:tc>
      </w:tr>
      <w:tr w:rsidR="008B4D51" w14:paraId="50704462" w14:textId="77777777" w:rsidTr="72641808">
        <w:trPr>
          <w:trHeight w:val="286"/>
        </w:trPr>
        <w:tc>
          <w:tcPr>
            <w:tcW w:w="9322" w:type="dxa"/>
            <w:gridSpan w:val="2"/>
          </w:tcPr>
          <w:p w14:paraId="73E23EB6" w14:textId="77777777" w:rsidR="008B4D51" w:rsidRDefault="00B679D0">
            <w:r>
              <w:rPr>
                <w:b/>
              </w:rPr>
              <w:t>Number of credits:</w:t>
            </w:r>
            <w:r>
              <w:rPr>
                <w:i/>
              </w:rPr>
              <w:t xml:space="preserve"> 3</w:t>
            </w:r>
          </w:p>
        </w:tc>
      </w:tr>
      <w:tr w:rsidR="008B4D51" w14:paraId="59735CA9" w14:textId="77777777" w:rsidTr="72641808">
        <w:tc>
          <w:tcPr>
            <w:tcW w:w="9322" w:type="dxa"/>
            <w:gridSpan w:val="2"/>
          </w:tcPr>
          <w:p w14:paraId="267DD298" w14:textId="77777777" w:rsidR="008B4D51" w:rsidRDefault="00B679D0">
            <w:pPr>
              <w:rPr>
                <w:i/>
              </w:rPr>
            </w:pPr>
            <w:r>
              <w:rPr>
                <w:b/>
              </w:rPr>
              <w:t>Recommended semester / trimester of study:</w:t>
            </w:r>
            <w:r>
              <w:t xml:space="preserve"> 4th semester of study</w:t>
            </w:r>
          </w:p>
        </w:tc>
      </w:tr>
      <w:tr w:rsidR="008B4D51" w14:paraId="64A3DBE3" w14:textId="77777777" w:rsidTr="72641808">
        <w:tc>
          <w:tcPr>
            <w:tcW w:w="9322" w:type="dxa"/>
            <w:gridSpan w:val="2"/>
          </w:tcPr>
          <w:p w14:paraId="72754D7D" w14:textId="77777777" w:rsidR="008B4D51" w:rsidRDefault="00B679D0">
            <w:r>
              <w:rPr>
                <w:b/>
              </w:rPr>
              <w:t>Study grade:</w:t>
            </w:r>
            <w:r>
              <w:t xml:space="preserve"> 1.</w:t>
            </w:r>
          </w:p>
        </w:tc>
      </w:tr>
      <w:tr w:rsidR="008B4D51" w14:paraId="5092205B" w14:textId="77777777" w:rsidTr="72641808">
        <w:tc>
          <w:tcPr>
            <w:tcW w:w="9322" w:type="dxa"/>
            <w:gridSpan w:val="2"/>
          </w:tcPr>
          <w:p w14:paraId="7DFB9F2F" w14:textId="77777777" w:rsidR="008B4D51" w:rsidRDefault="00B679D0">
            <w:pPr>
              <w:rPr>
                <w:i/>
              </w:rPr>
            </w:pPr>
            <w:r>
              <w:rPr>
                <w:b/>
              </w:rPr>
              <w:t>Prerequisites:</w:t>
            </w:r>
            <w:r>
              <w:t xml:space="preserve"> </w:t>
            </w:r>
          </w:p>
        </w:tc>
      </w:tr>
      <w:tr w:rsidR="008B4D51" w14:paraId="076CDCB2" w14:textId="77777777" w:rsidTr="72641808">
        <w:tc>
          <w:tcPr>
            <w:tcW w:w="9322" w:type="dxa"/>
            <w:gridSpan w:val="2"/>
          </w:tcPr>
          <w:p w14:paraId="402B2EBA" w14:textId="77777777" w:rsidR="008B4D51" w:rsidRDefault="00B679D0">
            <w:r>
              <w:rPr>
                <w:b/>
              </w:rPr>
              <w:t>Conditions for passing the course:</w:t>
            </w:r>
            <w:r>
              <w:t xml:space="preserve"> </w:t>
            </w:r>
          </w:p>
          <w:p w14:paraId="64858ECE" w14:textId="77777777" w:rsidR="008B4D51" w:rsidRDefault="00B679D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course is completed by an exam in the form of a test and evaluation of the level of semester work. The granting of t</w:t>
            </w:r>
            <w:r>
              <w:rPr>
                <w:color w:val="000000" w:themeColor="text1"/>
              </w:rPr>
              <w:t xml:space="preserve">he exam is also conditioned by the student's participation in seminars and </w:t>
            </w:r>
            <w:r>
              <w:t>an active approach to solving the semester work.</w:t>
            </w:r>
          </w:p>
        </w:tc>
      </w:tr>
      <w:tr w:rsidR="008B4D51" w14:paraId="7E9765A0" w14:textId="77777777" w:rsidTr="72641808">
        <w:tc>
          <w:tcPr>
            <w:tcW w:w="9322" w:type="dxa"/>
            <w:gridSpan w:val="2"/>
          </w:tcPr>
          <w:p w14:paraId="40354718" w14:textId="77777777" w:rsidR="008B4D51" w:rsidRDefault="72641808" w:rsidP="72641808">
            <w:pPr>
              <w:pStyle w:val="P68B1DB1-Normlny1"/>
              <w:rPr>
                <w:bCs/>
              </w:rPr>
            </w:pPr>
            <w:r w:rsidRPr="72641808">
              <w:rPr>
                <w:bCs/>
              </w:rPr>
              <w:t>Learning outcomes:</w:t>
            </w:r>
          </w:p>
          <w:p w14:paraId="1FB917AD" w14:textId="77777777" w:rsidR="008B4D51" w:rsidRDefault="72641808" w:rsidP="72641808">
            <w:pPr>
              <w:pStyle w:val="P68B1DB1-Normlny1"/>
              <w:rPr>
                <w:bCs/>
              </w:rPr>
            </w:pPr>
            <w:r w:rsidRPr="72641808">
              <w:rPr>
                <w:bCs/>
              </w:rPr>
              <w:t>Knowledge</w:t>
            </w:r>
          </w:p>
          <w:p w14:paraId="5F00F6DE" w14:textId="77777777" w:rsidR="008B4D51" w:rsidRDefault="00B679D0">
            <w:pPr>
              <w:pStyle w:val="Default"/>
              <w:jc w:val="both"/>
            </w:pPr>
            <w:bookmarkStart w:id="1" w:name="JR_PAGE_ANCHOR_0_1"/>
            <w:r>
              <w:rPr>
                <w:i/>
              </w:rPr>
              <w:t xml:space="preserve">The graduate of the course will gain </w:t>
            </w:r>
            <w:r>
              <w:t xml:space="preserve"> </w:t>
            </w:r>
            <w:r>
              <w:rPr>
                <w:i/>
              </w:rPr>
              <w:t>basic knowledge of dialectology and Ukrainian dialects</w:t>
            </w:r>
            <w:bookmarkEnd w:id="1"/>
            <w:r>
              <w:rPr>
                <w:i/>
              </w:rPr>
              <w:t>. He or sh</w:t>
            </w:r>
            <w:r>
              <w:rPr>
                <w:i/>
              </w:rPr>
              <w:t>e will acquire the terminological apparatus of the discipline. Knows the structure of Ukrainian dialects in Slovakia.</w:t>
            </w:r>
          </w:p>
          <w:p w14:paraId="1B35B51A" w14:textId="77777777" w:rsidR="008B4D51" w:rsidRDefault="00B679D0">
            <w:pPr>
              <w:pStyle w:val="P68B1DB1-Default2"/>
              <w:jc w:val="both"/>
            </w:pPr>
            <w:r>
              <w:t>Skills</w:t>
            </w:r>
          </w:p>
          <w:p w14:paraId="1574BF38" w14:textId="77777777" w:rsidR="008B4D51" w:rsidRDefault="72641808" w:rsidP="72641808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72641808">
              <w:rPr>
                <w:i/>
                <w:iCs/>
              </w:rPr>
              <w:t xml:space="preserve">Can use the terminology of the discipline during the solution of assignments. Can describe the basic division of Ukrainian dialects. He/she can demonstrate knowledge and explain the nature of the acquired phenomena and the relationships between them. </w:t>
            </w:r>
            <w:r w:rsidRPr="72641808">
              <w:t xml:space="preserve"> </w:t>
            </w:r>
            <w:r w:rsidRPr="72641808">
              <w:rPr>
                <w:i/>
                <w:iCs/>
              </w:rPr>
              <w:t>Can identify dialectisms in the text.</w:t>
            </w:r>
          </w:p>
          <w:p w14:paraId="24858C5E" w14:textId="77777777" w:rsidR="008B4D51" w:rsidRDefault="00B679D0">
            <w:pPr>
              <w:pStyle w:val="P68B1DB1-Default2"/>
              <w:jc w:val="both"/>
            </w:pPr>
            <w:r>
              <w:t>Competencies</w:t>
            </w:r>
          </w:p>
          <w:p w14:paraId="08AB8E0D" w14:textId="77777777" w:rsidR="008B4D51" w:rsidRDefault="72641808">
            <w:pPr>
              <w:jc w:val="both"/>
            </w:pPr>
            <w:r w:rsidRPr="72641808">
              <w:rPr>
                <w:i/>
                <w:iCs/>
              </w:rPr>
              <w:t>Can search, process and analyse professional information from different sources in a foreign language and exchange information.</w:t>
            </w:r>
            <w:r w:rsidRPr="72641808">
              <w:t xml:space="preserve"> </w:t>
            </w:r>
            <w:r w:rsidRPr="72641808">
              <w:rPr>
                <w:i/>
                <w:iCs/>
              </w:rPr>
              <w:t>Can present publicly the acquired knowledge and skills of the discipline using appropriate linguistic terminology.</w:t>
            </w:r>
          </w:p>
        </w:tc>
      </w:tr>
      <w:tr w:rsidR="008B4D51" w14:paraId="7BD745C9" w14:textId="77777777" w:rsidTr="72641808">
        <w:tc>
          <w:tcPr>
            <w:tcW w:w="9322" w:type="dxa"/>
            <w:gridSpan w:val="2"/>
          </w:tcPr>
          <w:p w14:paraId="22917055" w14:textId="77777777" w:rsidR="008B4D51" w:rsidRDefault="00B679D0">
            <w:r>
              <w:rPr>
                <w:b/>
              </w:rPr>
              <w:t>Course content:</w:t>
            </w:r>
            <w:r>
              <w:t xml:space="preserve"> </w:t>
            </w:r>
          </w:p>
          <w:p w14:paraId="1F968F91" w14:textId="77777777" w:rsidR="008B4D51" w:rsidRDefault="00B679D0">
            <w:pPr>
              <w:pStyle w:val="Pta"/>
              <w:tabs>
                <w:tab w:val="clear" w:pos="4536"/>
                <w:tab w:val="clear" w:pos="9072"/>
              </w:tabs>
            </w:pPr>
            <w:r>
              <w:t xml:space="preserve">Subject of dialectology. Relation of dialectology to other linguistic disciplines. Differentiation of Ukrainian dialects. Methods of research of dialect vocabulary. Characteristics of Ukrainian dialects of eastern Slovakia. Geographical differentiation of </w:t>
            </w:r>
            <w:r>
              <w:t>Ukrainian dialects of eastern Slovakia.</w:t>
            </w:r>
          </w:p>
        </w:tc>
      </w:tr>
      <w:tr w:rsidR="008B4D51" w14:paraId="506A8AF3" w14:textId="77777777" w:rsidTr="72641808">
        <w:tc>
          <w:tcPr>
            <w:tcW w:w="9322" w:type="dxa"/>
            <w:gridSpan w:val="2"/>
          </w:tcPr>
          <w:p w14:paraId="68ACDB07" w14:textId="77777777" w:rsidR="008B4D51" w:rsidRDefault="00B679D0">
            <w:pPr>
              <w:pStyle w:val="P68B1DB1-Normlny1"/>
            </w:pPr>
            <w:r>
              <w:t>Recommended literature:</w:t>
            </w:r>
          </w:p>
          <w:p w14:paraId="0528039D" w14:textId="77777777" w:rsidR="008B4D51" w:rsidRDefault="00B679D0">
            <w:r>
              <w:t>BEVZENKO, C. 1980. </w:t>
            </w:r>
            <w:r>
              <w:rPr>
                <w:i/>
              </w:rPr>
              <w:t>Ukrajinska  dialektolohija.</w:t>
            </w:r>
            <w:r>
              <w:t xml:space="preserve"> Kyjiv: Vyšča škola.</w:t>
            </w:r>
          </w:p>
          <w:p w14:paraId="24FF0526" w14:textId="77777777" w:rsidR="008B4D51" w:rsidRDefault="00B679D0">
            <w:r>
              <w:t xml:space="preserve">ČIŽMÁROVÁ, M. 2008. </w:t>
            </w:r>
            <w:r>
              <w:rPr>
                <w:i/>
              </w:rPr>
              <w:t>Nominačné modely v botanickom názvosloví</w:t>
            </w:r>
            <w:r>
              <w:t>. Prešov: Prešovská univerzita v Prešove, Filozofická fakulta 20</w:t>
            </w:r>
            <w:r>
              <w:t xml:space="preserve">08. 191 s. </w:t>
            </w:r>
          </w:p>
          <w:p w14:paraId="6CDED6EB" w14:textId="77777777" w:rsidR="008B4D51" w:rsidRDefault="00B679D0">
            <w:r>
              <w:t xml:space="preserve">ČIŽMÁROVÁ, M. 2013. </w:t>
            </w:r>
            <w:r>
              <w:rPr>
                <w:i/>
              </w:rPr>
              <w:t>Nárečový slovník Rusínov-Ukrajincov Slovenska.</w:t>
            </w:r>
            <w:r>
              <w:t xml:space="preserve"> I. Prešov: Filozofická fakulta Prešovskej univerzity v Prešove. 160 s.</w:t>
            </w:r>
            <w:r>
              <w:br/>
              <w:t xml:space="preserve">HANUDEĽOVÁ, Z. 1993. </w:t>
            </w:r>
            <w:r>
              <w:rPr>
                <w:i/>
              </w:rPr>
              <w:t>Územné členenie ukrajinských nárečí východného Slovenska.</w:t>
            </w:r>
            <w:r>
              <w:t xml:space="preserve"> In: Slavica Slovaca, 28, č.</w:t>
            </w:r>
            <w:r>
              <w:t xml:space="preserve"> 1 – 2. s. 178 – 184. </w:t>
            </w:r>
          </w:p>
          <w:p w14:paraId="6DEA5D3B" w14:textId="77777777" w:rsidR="008B4D51" w:rsidRDefault="00B679D0">
            <w:r>
              <w:t xml:space="preserve">LEŠKA, O. – ŠIŠKOVÁ, R. – MUŠINKA, M., 1998. </w:t>
            </w:r>
            <w:r>
              <w:rPr>
                <w:i/>
              </w:rPr>
              <w:t>Vyprávění z Podkarpatí. Ukrajinská nářečí východního Slovenska/Rozpovidi z Pidkarpattja. Ukrajinski hovirky Schidnoji Slovaččyny</w:t>
            </w:r>
            <w:r>
              <w:t>. New York – Praha – Kyjev: Euroslavica.</w:t>
            </w:r>
          </w:p>
          <w:p w14:paraId="5ABF682B" w14:textId="77777777" w:rsidR="008B4D51" w:rsidRDefault="00B679D0">
            <w:r>
              <w:t xml:space="preserve">MILLÁ, Ľ. – MILLÝ, </w:t>
            </w:r>
            <w:r>
              <w:t xml:space="preserve">M., 2011. </w:t>
            </w:r>
            <w:r>
              <w:rPr>
                <w:i/>
              </w:rPr>
              <w:t>Nárečový slovník Rusínov-Ukrajincov Slovenska</w:t>
            </w:r>
            <w:r>
              <w:t>. Prešov: Filozofická fakulta Prešovskej univerzity v Prešove.</w:t>
            </w:r>
          </w:p>
          <w:p w14:paraId="6D460EC5" w14:textId="77777777" w:rsidR="008B4D51" w:rsidRDefault="00B679D0">
            <w:r>
              <w:t xml:space="preserve">ŠIŠKOVÁ, R., 2009. </w:t>
            </w:r>
            <w:r>
              <w:rPr>
                <w:i/>
              </w:rPr>
              <w:t xml:space="preserve">Areálová studie slovní zásoby rusínských nářečí východního Slovenska. </w:t>
            </w:r>
            <w:r>
              <w:rPr>
                <w:i/>
              </w:rPr>
              <w:lastRenderedPageBreak/>
              <w:t>Diferenční slovník.</w:t>
            </w:r>
            <w:r>
              <w:t xml:space="preserve"> Praha: Slovanský ústav AV ČR.</w:t>
            </w:r>
          </w:p>
        </w:tc>
      </w:tr>
      <w:tr w:rsidR="008B4D51" w14:paraId="22CB43B7" w14:textId="77777777" w:rsidTr="72641808">
        <w:tc>
          <w:tcPr>
            <w:tcW w:w="9322" w:type="dxa"/>
            <w:gridSpan w:val="2"/>
          </w:tcPr>
          <w:p w14:paraId="4765EC3E" w14:textId="77777777" w:rsidR="008B4D51" w:rsidRDefault="00B679D0">
            <w:r>
              <w:rPr>
                <w:b/>
              </w:rPr>
              <w:lastRenderedPageBreak/>
              <w:t>Language which is necessary to complete the course:</w:t>
            </w:r>
            <w:r>
              <w:t xml:space="preserve"> </w:t>
            </w:r>
          </w:p>
          <w:p w14:paraId="02D6F258" w14:textId="77777777" w:rsidR="008B4D51" w:rsidRDefault="00B679D0">
            <w:r>
              <w:t>Ukrainian language, Slovak language</w:t>
            </w:r>
          </w:p>
        </w:tc>
      </w:tr>
      <w:tr w:rsidR="008B4D51" w14:paraId="7533B424" w14:textId="77777777" w:rsidTr="72641808">
        <w:tc>
          <w:tcPr>
            <w:tcW w:w="9322" w:type="dxa"/>
            <w:gridSpan w:val="2"/>
          </w:tcPr>
          <w:p w14:paraId="5FFB30A7" w14:textId="77777777" w:rsidR="008B4D51" w:rsidRDefault="00B679D0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8B4D51" w14:paraId="337E5965" w14:textId="77777777" w:rsidTr="72641808">
        <w:tc>
          <w:tcPr>
            <w:tcW w:w="9322" w:type="dxa"/>
            <w:gridSpan w:val="2"/>
          </w:tcPr>
          <w:p w14:paraId="12CEC339" w14:textId="77777777" w:rsidR="008B4D51" w:rsidRDefault="72641808" w:rsidP="72641808">
            <w:pPr>
              <w:pStyle w:val="P68B1DB1-Normlny1"/>
              <w:rPr>
                <w:bCs/>
              </w:rPr>
            </w:pPr>
            <w:r w:rsidRPr="72641808">
              <w:rPr>
                <w:bCs/>
              </w:rPr>
              <w:t>Course evaluation</w:t>
            </w:r>
          </w:p>
          <w:p w14:paraId="75E02D90" w14:textId="77777777" w:rsidR="008B4D51" w:rsidRDefault="00B679D0">
            <w:r>
              <w:rPr>
                <w:color w:val="000000" w:themeColor="text1"/>
              </w:rPr>
              <w:t xml:space="preserve">Total number of students evaluated: </w:t>
            </w:r>
            <w:r>
              <w:t>85</w:t>
            </w:r>
          </w:p>
          <w:tbl>
            <w:tblPr>
              <w:tblStyle w:val="Mriekatabuky"/>
              <w:tblW w:w="0" w:type="auto"/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8B4D51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8B4D51" w:rsidRDefault="00B679D0">
                  <w:pPr>
                    <w:pStyle w:val="P68B1DB1-Normlny3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8B4D51" w:rsidRDefault="00B679D0">
                  <w:pPr>
                    <w:pStyle w:val="P68B1DB1-Normlny3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8B4D51" w:rsidRDefault="00B679D0">
                  <w:pPr>
                    <w:pStyle w:val="P68B1DB1-Normlny3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8B4D51" w:rsidRDefault="00B679D0">
                  <w:pPr>
                    <w:pStyle w:val="P68B1DB1-Normlny3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8B4D51" w:rsidRDefault="00B679D0">
                  <w:pPr>
                    <w:pStyle w:val="P68B1DB1-Normlny3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8B4D51" w:rsidRDefault="00B679D0">
                  <w:pPr>
                    <w:pStyle w:val="P68B1DB1-Normlny3"/>
                    <w:jc w:val="center"/>
                  </w:pPr>
                  <w:r>
                    <w:t>FX</w:t>
                  </w:r>
                </w:p>
              </w:tc>
            </w:tr>
            <w:tr w:rsidR="008B4D51" w14:paraId="65579C68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C1BAA" w14:textId="77777777" w:rsidR="008B4D51" w:rsidRDefault="00B679D0">
                  <w:pPr>
                    <w:jc w:val="center"/>
                    <w:rPr>
                      <w:color w:val="000000" w:themeColor="text1"/>
                    </w:rPr>
                  </w:pPr>
                  <w:r>
                    <w:t>47%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FE7DB" w14:textId="77777777" w:rsidR="008B4D51" w:rsidRDefault="00B679D0">
                  <w:pPr>
                    <w:jc w:val="center"/>
                    <w:rPr>
                      <w:color w:val="000000" w:themeColor="text1"/>
                    </w:rPr>
                  </w:pPr>
                  <w:r>
                    <w:t>19%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8EE5E" w14:textId="77777777" w:rsidR="008B4D51" w:rsidRDefault="00B679D0">
                  <w:pPr>
                    <w:jc w:val="center"/>
                    <w:rPr>
                      <w:color w:val="000000" w:themeColor="text1"/>
                    </w:rPr>
                  </w:pPr>
                  <w:r>
                    <w:t>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95F8A" w14:textId="77777777" w:rsidR="008B4D51" w:rsidRDefault="00B679D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EDEFB" w14:textId="77777777" w:rsidR="008B4D51" w:rsidRDefault="00B679D0">
                  <w:pPr>
                    <w:jc w:val="center"/>
                    <w:rPr>
                      <w:color w:val="000000" w:themeColor="text1"/>
                    </w:rPr>
                  </w:pPr>
                  <w:r>
                    <w:t>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B5456" w14:textId="77777777" w:rsidR="008B4D51" w:rsidRDefault="00B679D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  <w:r>
                    <w:t xml:space="preserve"> %</w:t>
                  </w:r>
                </w:p>
              </w:tc>
            </w:tr>
          </w:tbl>
          <w:p w14:paraId="0A37501D" w14:textId="77777777" w:rsidR="008B4D51" w:rsidRDefault="008B4D51">
            <w:pPr>
              <w:rPr>
                <w:i/>
              </w:rPr>
            </w:pPr>
          </w:p>
        </w:tc>
      </w:tr>
      <w:tr w:rsidR="008B4D51" w14:paraId="2E323A69" w14:textId="77777777" w:rsidTr="72641808">
        <w:tc>
          <w:tcPr>
            <w:tcW w:w="9322" w:type="dxa"/>
            <w:gridSpan w:val="2"/>
          </w:tcPr>
          <w:p w14:paraId="4BF0C61C" w14:textId="77777777" w:rsidR="008B4D51" w:rsidRDefault="00B679D0">
            <w:pPr>
              <w:tabs>
                <w:tab w:val="left" w:pos="1530"/>
              </w:tabs>
              <w:rPr>
                <w:i/>
              </w:rPr>
            </w:pPr>
            <w:r>
              <w:rPr>
                <w:b/>
              </w:rPr>
              <w:t>Lecturers:</w:t>
            </w:r>
            <w:r>
              <w:t xml:space="preserve"> Prof. PhDr. Mária Čižmárová, CSc., guarantor, lecturer, examiner, instructor, seminar leader</w:t>
            </w:r>
          </w:p>
        </w:tc>
      </w:tr>
      <w:tr w:rsidR="008B4D51" w14:paraId="4B0CB1BC" w14:textId="77777777" w:rsidTr="72641808">
        <w:tc>
          <w:tcPr>
            <w:tcW w:w="9322" w:type="dxa"/>
            <w:gridSpan w:val="2"/>
          </w:tcPr>
          <w:p w14:paraId="04F3CD5A" w14:textId="77777777" w:rsidR="008B4D51" w:rsidRDefault="00B679D0">
            <w:pPr>
              <w:pStyle w:val="P68B1DB1-Normlny1"/>
              <w:tabs>
                <w:tab w:val="left" w:pos="1530"/>
              </w:tabs>
            </w:pPr>
            <w:r>
              <w:t>Date of last change:</w:t>
            </w:r>
          </w:p>
          <w:p w14:paraId="5B30EA29" w14:textId="77777777" w:rsidR="008B4D51" w:rsidRDefault="00B679D0">
            <w:pPr>
              <w:tabs>
                <w:tab w:val="left" w:pos="1530"/>
              </w:tabs>
            </w:pPr>
            <w:r>
              <w:t xml:space="preserve"> 30.01.2022</w:t>
            </w:r>
          </w:p>
        </w:tc>
      </w:tr>
      <w:tr w:rsidR="008B4D51" w14:paraId="4CA0C55B" w14:textId="77777777" w:rsidTr="72641808">
        <w:tc>
          <w:tcPr>
            <w:tcW w:w="9322" w:type="dxa"/>
            <w:gridSpan w:val="2"/>
          </w:tcPr>
          <w:p w14:paraId="76016827" w14:textId="77777777" w:rsidR="008B4D51" w:rsidRDefault="00B679D0">
            <w:pPr>
              <w:tabs>
                <w:tab w:val="left" w:pos="1530"/>
              </w:tabs>
              <w:rPr>
                <w:i/>
              </w:rPr>
            </w:pPr>
            <w:r>
              <w:rPr>
                <w:b/>
              </w:rPr>
              <w:t>Approved by:</w:t>
            </w:r>
            <w:r>
              <w:t xml:space="preserve"> </w:t>
            </w:r>
          </w:p>
          <w:p w14:paraId="5C1BF605" w14:textId="77777777" w:rsidR="008B4D51" w:rsidRDefault="00B679D0">
            <w:pPr>
              <w:tabs>
                <w:tab w:val="left" w:pos="1530"/>
              </w:tabs>
              <w:rPr>
                <w:i/>
              </w:rPr>
            </w:pPr>
            <w:r>
              <w:t>Prof. PhDr. Mária Čižmárová, CSc.</w:t>
            </w:r>
          </w:p>
        </w:tc>
      </w:tr>
    </w:tbl>
    <w:p w14:paraId="5DAB6C7B" w14:textId="77777777" w:rsidR="008B4D51" w:rsidRDefault="008B4D51">
      <w:pPr>
        <w:ind w:left="720"/>
        <w:jc w:val="both"/>
      </w:pPr>
    </w:p>
    <w:p w14:paraId="02EB378F" w14:textId="77777777" w:rsidR="008B4D51" w:rsidRDefault="008B4D51"/>
    <w:sectPr w:rsidR="008B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6B9E"/>
    <w:multiLevelType w:val="hybridMultilevel"/>
    <w:tmpl w:val="EA90483A"/>
    <w:lvl w:ilvl="0" w:tplc="4B22B344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A"/>
    <w:rsid w:val="00125D3A"/>
    <w:rsid w:val="001A6922"/>
    <w:rsid w:val="001C4C80"/>
    <w:rsid w:val="002A1EAA"/>
    <w:rsid w:val="003C23DA"/>
    <w:rsid w:val="0043316B"/>
    <w:rsid w:val="004528FD"/>
    <w:rsid w:val="005513E5"/>
    <w:rsid w:val="00574180"/>
    <w:rsid w:val="007D26BB"/>
    <w:rsid w:val="007D5746"/>
    <w:rsid w:val="008B4D51"/>
    <w:rsid w:val="009A0C9A"/>
    <w:rsid w:val="009A5128"/>
    <w:rsid w:val="00A2377B"/>
    <w:rsid w:val="00AA6167"/>
    <w:rsid w:val="00B503BF"/>
    <w:rsid w:val="00B679D0"/>
    <w:rsid w:val="00BD5B2C"/>
    <w:rsid w:val="00CD4325"/>
    <w:rsid w:val="3C4C96C1"/>
    <w:rsid w:val="41D002D8"/>
    <w:rsid w:val="726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692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A6922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1A69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6922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1A6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Default2">
    <w:name w:val="P68B1DB1-Default2"/>
    <w:basedOn w:val="Default"/>
    <w:rPr>
      <w:b/>
    </w:rPr>
  </w:style>
  <w:style w:type="paragraph" w:customStyle="1" w:styleId="P68B1DB1-Normlny3">
    <w:name w:val="P68B1DB1-Normlny3"/>
    <w:basedOn w:val="Normlny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692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A6922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1A69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6922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1A6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Default2">
    <w:name w:val="P68B1DB1-Default2"/>
    <w:basedOn w:val="Default"/>
    <w:rPr>
      <w:b/>
    </w:rPr>
  </w:style>
  <w:style w:type="paragraph" w:customStyle="1" w:styleId="P68B1DB1-Normlny3">
    <w:name w:val="P68B1DB1-Normlny3"/>
    <w:basedOn w:val="Normlny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C0E75-791E-4005-BF2B-FE56AC50C628}"/>
</file>

<file path=customXml/itemProps2.xml><?xml version="1.0" encoding="utf-8"?>
<ds:datastoreItem xmlns:ds="http://schemas.openxmlformats.org/officeDocument/2006/customXml" ds:itemID="{0B05408F-D619-40A5-A996-BA251C3B0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58BE33-F06F-493A-B7FF-1186AEE2D2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>HP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2022-02-10T08:34:00Z</cp:lastPrinted>
  <dcterms:created xsi:type="dcterms:W3CDTF">2022-01-27T12:56:00Z</dcterms:created>
  <dcterms:modified xsi:type="dcterms:W3CDTF">2022-03-01T09:27:00Z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