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C0D1DEB" wp14:textId="77777777">
      <w:pPr>
        <w:ind w:left="720"/>
        <w:jc w:val="center"/>
      </w:pPr>
      <w:r>
        <w:t xml:space="preserve">COURSE DESCRIPTION</w:t>
      </w:r>
    </w:p>
    <w:p xmlns:wp14="http://schemas.microsoft.com/office/word/2010/wordml" w14:paraId="672A6659" wp14:textId="77777777">
      <w:pPr>
        <w:ind w:left="720"/>
        <w:jc w:val="center"/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xmlns:wp14="http://schemas.microsoft.com/office/word/2010/wordml" w:rsidTr="4E0DA806" w14:paraId="654726A2" wp14:textId="77777777">
        <w:tc>
          <w:tcPr>
            <w:tcW w:w="9322" w:type="dxa"/>
            <w:gridSpan w:val="2"/>
            <w:tcMar/>
          </w:tcPr>
          <w:p w14:paraId="637A4064" wp14:textId="77777777">
            <w:pPr>
              <w:rPr>
                <w:i/>
              </w:rPr>
            </w:pPr>
            <w:r>
              <w:rPr>
                <w:b/>
              </w:rPr>
              <w:t>University:</w:t>
            </w:r>
            <w:r>
              <w:t xml:space="preserve"> </w:t>
            </w:r>
            <w:r>
              <w:rPr>
                <w:i/>
              </w:rPr>
              <w:t xml:space="preserve">University of Presov</w:t>
            </w:r>
          </w:p>
        </w:tc>
      </w:tr>
      <w:tr xmlns:wp14="http://schemas.microsoft.com/office/word/2010/wordml" w:rsidTr="4E0DA806" w14:paraId="5F414D48" wp14:textId="77777777">
        <w:tc>
          <w:tcPr>
            <w:tcW w:w="9322" w:type="dxa"/>
            <w:gridSpan w:val="2"/>
            <w:tcMar/>
          </w:tcPr>
          <w:p w14:paraId="2F47ABEF" wp14:textId="77777777">
            <w:pPr>
              <w:rPr>
                <w:i/>
              </w:rPr>
            </w:pPr>
            <w:r>
              <w:rPr>
                <w:b/>
              </w:rPr>
              <w:t>Faculty:</w:t>
            </w:r>
            <w:r>
              <w:t xml:space="preserve"> </w:t>
            </w:r>
            <w:r>
              <w:rPr>
                <w:i/>
              </w:rPr>
              <w:t>Arts</w:t>
            </w:r>
          </w:p>
        </w:tc>
      </w:tr>
      <w:tr xmlns:wp14="http://schemas.microsoft.com/office/word/2010/wordml" w:rsidTr="4E0DA806" w14:paraId="4E33EB4B" wp14:textId="77777777">
        <w:tc>
          <w:tcPr>
            <w:tcW w:w="4110" w:type="dxa"/>
            <w:tcMar/>
          </w:tcPr>
          <w:p w:rsidP="4E0DA806" w14:paraId="472A6AE1" wp14:textId="4D3DE8CD">
            <w:pPr>
              <w:rPr>
                <w:i w:val="1"/>
                <w:iCs w:val="1"/>
              </w:rPr>
            </w:pPr>
            <w:r w:rsidRPr="4E0DA806" w:rsidR="4E0DA806">
              <w:rPr>
                <w:b w:val="1"/>
                <w:bCs w:val="1"/>
              </w:rPr>
              <w:t xml:space="preserve">Code: </w:t>
            </w:r>
            <w:r w:rsidRPr="4E0DA806" w:rsidR="4E0DA806">
              <w:rPr>
                <w:b w:val="0"/>
                <w:bCs w:val="0"/>
                <w:i w:val="0"/>
                <w:iCs w:val="0"/>
              </w:rPr>
              <w:t xml:space="preserve">1IUKR</w:t>
            </w:r>
            <w:r w:rsidRPr="4E0DA806" w:rsidR="4E0DA806">
              <w:rPr>
                <w:b w:val="0"/>
                <w:bCs w:val="0"/>
                <w:i w:val="0"/>
                <w:iCs w:val="0"/>
              </w:rPr>
              <w:t>/</w:t>
            </w:r>
            <w:r w:rsidR="4E0DA806">
              <w:rPr>
                <w:shd w:val="clear" w:color="auto" w:fill="FFFFFF"/>
              </w:rPr>
              <w:t xml:space="preserve">USCJ2/22</w:t>
            </w:r>
          </w:p>
        </w:tc>
        <w:tc>
          <w:tcPr>
            <w:tcW w:w="5212" w:type="dxa"/>
            <w:tcMar/>
          </w:tcPr>
          <w:p w14:paraId="413353D5" wp14:textId="77777777">
            <w:pPr>
              <w:rPr>
                <w:b/>
              </w:rPr>
            </w:pPr>
            <w:r>
              <w:rPr>
                <w:b/>
              </w:rPr>
              <w:t xml:space="preserve">Course title: </w:t>
            </w:r>
            <w:r>
              <w:rPr>
                <w:i/>
              </w:rPr>
              <w:t xml:space="preserve">Slovak as a Foreign Language for Teachers 2  </w:t>
            </w:r>
            <w:r>
              <w:t>(PV)</w:t>
            </w:r>
          </w:p>
        </w:tc>
      </w:tr>
      <w:tr xmlns:wp14="http://schemas.microsoft.com/office/word/2010/wordml" w:rsidTr="4E0DA806" w14:paraId="66704843" wp14:textId="77777777">
        <w:trPr>
          <w:trHeight w:val="1110"/>
        </w:trPr>
        <w:tc>
          <w:tcPr>
            <w:tcW w:w="9322" w:type="dxa"/>
            <w:gridSpan w:val="2"/>
            <w:tcMar/>
          </w:tcPr>
          <w:p w14:paraId="02A6B47F" wp14:textId="77777777">
            <w:r>
              <w:rPr>
                <w:b/>
              </w:rPr>
              <w:t xml:space="preserve">Type, scope and method of educational activity:</w:t>
            </w:r>
            <w:r>
              <w:t xml:space="preserve"> </w:t>
            </w:r>
          </w:p>
          <w:p w:rsidP="4E0DA806" w14:paraId="1C8DB339" wp14:textId="77777777" wp14:noSpellErr="1">
            <w:pPr>
              <w:rPr>
                <w:i w:val="1"/>
                <w:iCs w:val="1"/>
              </w:rPr>
              <w:pStyle w:val="P68B1DB1-Normlny1"/>
            </w:pPr>
            <w:r w:rsidRPr="4E0DA806" w:rsidR="4E0DA806">
              <w:rPr>
                <w:i w:val="1"/>
                <w:iCs w:val="1"/>
              </w:rPr>
              <w:t>2 hours seminar, a total of 26 S per semester.</w:t>
            </w:r>
          </w:p>
          <w:p w14:paraId="3EB8DD20" wp14:textId="77777777">
            <w:pPr>
              <w:pStyle w:val="P68B1DB1-Normlny1"/>
            </w:pPr>
            <w:r>
              <w:t xml:space="preserve">Combined method.</w:t>
            </w:r>
          </w:p>
        </w:tc>
      </w:tr>
      <w:tr xmlns:wp14="http://schemas.microsoft.com/office/word/2010/wordml" w:rsidTr="4E0DA806" w14:paraId="755CF00E" wp14:textId="77777777">
        <w:trPr>
          <w:trHeight w:val="286"/>
        </w:trPr>
        <w:tc>
          <w:tcPr>
            <w:tcW w:w="9322" w:type="dxa"/>
            <w:gridSpan w:val="2"/>
            <w:tcMar/>
          </w:tcPr>
          <w:p w14:paraId="3D474AD8" wp14:textId="77777777">
            <w:r>
              <w:rPr>
                <w:b/>
              </w:rPr>
              <w:t xml:space="preserve">Number of credits:</w:t>
            </w:r>
            <w:r>
              <w:rPr>
                <w:i/>
              </w:rPr>
              <w:t xml:space="preserve"> 2</w:t>
            </w:r>
          </w:p>
        </w:tc>
      </w:tr>
      <w:tr xmlns:wp14="http://schemas.microsoft.com/office/word/2010/wordml" w:rsidTr="4E0DA806" w14:paraId="57B10AE7" wp14:textId="77777777">
        <w:tc>
          <w:tcPr>
            <w:tcW w:w="9322" w:type="dxa"/>
            <w:gridSpan w:val="2"/>
            <w:tcMar/>
          </w:tcPr>
          <w:p w14:paraId="54B0DC3B" wp14:textId="77777777">
            <w:pPr>
              <w:rPr>
                <w:i/>
              </w:rPr>
            </w:pPr>
            <w:r>
              <w:rPr>
                <w:b/>
              </w:rPr>
              <w:t xml:space="preserve">Recommended semester / trimester of study:</w:t>
            </w:r>
            <w:r>
              <w:t xml:space="preserve"> </w:t>
            </w:r>
            <w:r>
              <w:rPr>
                <w:i/>
              </w:rPr>
              <w:t xml:space="preserve">3rd semester</w:t>
            </w:r>
          </w:p>
        </w:tc>
      </w:tr>
      <w:tr xmlns:wp14="http://schemas.microsoft.com/office/word/2010/wordml" w:rsidTr="4E0DA806" w14:paraId="64A3DBE3" wp14:textId="77777777">
        <w:tc>
          <w:tcPr>
            <w:tcW w:w="9322" w:type="dxa"/>
            <w:gridSpan w:val="2"/>
            <w:tcMar/>
          </w:tcPr>
          <w:p w14:paraId="72754D7D" wp14:textId="77777777">
            <w:r>
              <w:rPr>
                <w:b/>
              </w:rPr>
              <w:t xml:space="preserve">Study grade: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>.</w:t>
            </w:r>
          </w:p>
        </w:tc>
      </w:tr>
      <w:tr xmlns:wp14="http://schemas.microsoft.com/office/word/2010/wordml" w:rsidTr="4E0DA806" w14:paraId="5092205B" wp14:textId="77777777">
        <w:tc>
          <w:tcPr>
            <w:tcW w:w="9322" w:type="dxa"/>
            <w:gridSpan w:val="2"/>
            <w:tcMar/>
          </w:tcPr>
          <w:p w14:paraId="7DFB9F2F" wp14:textId="77777777">
            <w:pPr>
              <w:rPr>
                <w:i/>
              </w:rPr>
            </w:pPr>
            <w:r>
              <w:rPr>
                <w:b/>
              </w:rPr>
              <w:t>Prerequisites:</w:t>
            </w:r>
            <w:r>
              <w:t xml:space="preserve"> </w:t>
            </w:r>
          </w:p>
        </w:tc>
      </w:tr>
      <w:tr xmlns:wp14="http://schemas.microsoft.com/office/word/2010/wordml" w:rsidTr="4E0DA806" w14:paraId="32AA5E8E" wp14:textId="77777777">
        <w:tc>
          <w:tcPr>
            <w:tcW w:w="9322" w:type="dxa"/>
            <w:gridSpan w:val="2"/>
            <w:tcMar/>
          </w:tcPr>
          <w:p w14:paraId="402B2EBA" wp14:textId="77777777">
            <w:r>
              <w:rPr>
                <w:b/>
              </w:rPr>
              <w:t xml:space="preserve">Conditions for passing the course:</w:t>
            </w:r>
            <w:r>
              <w:t xml:space="preserve"> </w:t>
            </w:r>
          </w:p>
          <w:p w:rsidP="4E0DA806" w14:paraId="16C6F186" wp14:textId="77777777" wp14:noSpellErr="1">
            <w:pPr>
              <w:jc w:val="both"/>
              <w:rPr>
                <w:i w:val="1"/>
                <w:iCs w:val="1"/>
                <w:color w:val="000000"/>
              </w:rPr>
              <w:pStyle w:val="P68B1DB1-Normlny1"/>
            </w:pPr>
            <w:r w:rsidRPr="4E0DA806" w:rsidR="4E0DA806">
              <w:rPr>
                <w:i w:val="1"/>
                <w:iCs w:val="1"/>
                <w:color w:val="000000" w:themeColor="text1" w:themeTint="FF" w:themeShade="FF"/>
              </w:rPr>
              <w:t>The course is completed</w:t>
            </w:r>
            <w:r w:rsidRPr="4E0DA806" w:rsidR="4E0DA806">
              <w:rPr>
                <w:i w:val="1"/>
                <w:iCs w:val="1"/>
              </w:rPr>
              <w:t xml:space="preserve"> by credit</w:t>
            </w:r>
            <w:r w:rsidRPr="4E0DA806" w:rsidR="4E0DA806">
              <w:rPr>
                <w:i w:val="1"/>
                <w:iCs w:val="1"/>
                <w:color w:val="000000" w:themeColor="text1" w:themeTint="FF" w:themeShade="FF"/>
              </w:rPr>
              <w:t>. During the semester, the student works on conversational topics in writing. The granting of the credit is also conditioned by the active participation of the student in the seminars.</w:t>
            </w:r>
          </w:p>
        </w:tc>
      </w:tr>
      <w:tr xmlns:wp14="http://schemas.microsoft.com/office/word/2010/wordml" w:rsidTr="4E0DA806" w14:paraId="22B0AE46" wp14:textId="77777777">
        <w:tc>
          <w:tcPr>
            <w:tcW w:w="9322" w:type="dxa"/>
            <w:gridSpan w:val="2"/>
            <w:tcMar/>
          </w:tcPr>
          <w:p w:rsidP="4E0DA806" w14:paraId="40354718" wp14:textId="77777777" wp14:noSpellErr="1">
            <w:pPr>
              <w:rPr>
                <w:b w:val="1"/>
                <w:bCs w:val="1"/>
              </w:rPr>
              <w:pStyle w:val="P68B1DB1-Normlny2"/>
            </w:pPr>
            <w:r w:rsidRPr="4E0DA806" w:rsidR="4E0DA806">
              <w:rPr>
                <w:b w:val="1"/>
                <w:bCs w:val="1"/>
              </w:rPr>
              <w:t>Learning outcomes:</w:t>
            </w:r>
          </w:p>
          <w:p w:rsidP="4E0DA806" w14:paraId="1FB917AD" wp14:textId="1623F131">
            <w:pPr>
              <w:pStyle w:val="Normlny"/>
              <w:rPr>
                <w:b w:val="1"/>
                <w:bCs w:val="1"/>
              </w:rPr>
              <w:pStyle w:val="P68B1DB1-Normlny2"/>
            </w:pPr>
            <w:r w:rsidRPr="4E0DA806" w:rsidR="4E0DA806">
              <w:rPr>
                <w:b w:val="1"/>
                <w:bCs w:val="1"/>
              </w:rPr>
              <w:t>Knowledge</w:t>
            </w:r>
          </w:p>
          <w:p w:rsidP="4E0DA806" w14:paraId="774722A3" wp14:textId="77777777" wp14:noSpellErr="1">
            <w:pPr>
              <w:rPr>
                <w:i w:val="1"/>
                <w:iCs w:val="1"/>
              </w:rPr>
              <w:pStyle w:val="P68B1DB1-Normlny1"/>
            </w:pPr>
            <w:bookmarkStart w:name="JR_PAGE_ANCHOR_0_1" w:id="1"/>
            <w:r w:rsidRPr="4E0DA806" w:rsidR="4E0DA806">
              <w:rPr>
                <w:i w:val="1"/>
                <w:iCs w:val="1"/>
              </w:rPr>
              <w:t>The graduate of the course will gain basic knowledge of Slovak grammar. He/she will acquire the terminology of set conversational topics.</w:t>
            </w:r>
            <w:r w:rsidR="4E0DA806">
              <w:rPr/>
              <w:t xml:space="preserve"> </w:t>
            </w:r>
          </w:p>
          <w:bookmarkEnd w:id="1"/>
          <w:p w14:paraId="1B35B51A" wp14:textId="77777777">
            <w:pPr>
              <w:pStyle w:val="P68B1DB1-Default3"/>
              <w:rPr>
                <w:b/>
              </w:rPr>
            </w:pPr>
            <w:r>
              <w:t>Skills</w:t>
            </w:r>
          </w:p>
          <w:p w:rsidP="4E0DA806" w14:paraId="19E2D447" wp14:textId="77777777" wp14:noSpellErr="1">
            <w:pPr>
              <w:rPr>
                <w:i w:val="1"/>
                <w:iCs w:val="1"/>
              </w:rPr>
              <w:pStyle w:val="P68B1DB1-Normlny1"/>
            </w:pPr>
            <w:r w:rsidRPr="4E0DA806" w:rsidR="4E0DA806">
              <w:rPr>
                <w:i w:val="1"/>
                <w:iCs w:val="1"/>
              </w:rPr>
              <w:t xml:space="preserve">Can use the terminology of the conversation topics covered. Can reproduce read and heard professional text, communicate and argue. Can produce simple professional texts orally and in writing. </w:t>
            </w:r>
          </w:p>
          <w:p w14:paraId="24858C5E" wp14:textId="77777777">
            <w:pPr>
              <w:pStyle w:val="P68B1DB1-Default3"/>
              <w:rPr>
                <w:b/>
              </w:rPr>
            </w:pPr>
            <w:r>
              <w:t>Competencies</w:t>
            </w:r>
          </w:p>
          <w:p w:rsidP="4E0DA806" w14:paraId="25D75087" wp14:textId="77777777" wp14:noSpellErr="1">
            <w:pPr>
              <w:rPr>
                <w:i w:val="1"/>
                <w:iCs w:val="1"/>
              </w:rPr>
            </w:pPr>
            <w:r w:rsidRPr="4E0DA806" w:rsidR="4E0DA806">
              <w:rPr>
                <w:i w:val="1"/>
                <w:iCs w:val="1"/>
              </w:rPr>
              <w:t>Can search, process and analyse professional information from different sources in a foreign language and exchange information.</w:t>
            </w:r>
            <w:r w:rsidR="4E0DA806">
              <w:rPr/>
              <w:t xml:space="preserve"> </w:t>
            </w:r>
            <w:r w:rsidRPr="4E0DA806" w:rsidR="4E0DA806">
              <w:rPr>
                <w:rFonts w:ascii="Times New Roman" w:hAnsi="Times New Roman" w:eastAsia="Times New Roman" w:cs="Times New Roman"/>
                <w:i w:val="1"/>
                <w:iCs w:val="1"/>
              </w:rPr>
              <w:t>Can publicly present acquired knowledge and skills from the discipline</w:t>
            </w:r>
            <w:r w:rsidRPr="4E0DA806" w:rsidR="4E0DA806">
              <w:rPr>
                <w:rFonts w:ascii="MinionPro-It" w:hAnsi="MinionPro-It" w:cs="MinionPro-It"/>
                <w:i w:val="1"/>
                <w:iCs w:val="1"/>
              </w:rPr>
              <w:t>.</w:t>
            </w:r>
          </w:p>
        </w:tc>
      </w:tr>
      <w:tr xmlns:wp14="http://schemas.microsoft.com/office/word/2010/wordml" w:rsidTr="4E0DA806" w14:paraId="1716CE98" wp14:textId="77777777">
        <w:tc>
          <w:tcPr>
            <w:tcW w:w="9322" w:type="dxa"/>
            <w:gridSpan w:val="2"/>
            <w:tcMar/>
          </w:tcPr>
          <w:p w14:paraId="22917055" wp14:textId="77777777">
            <w:pPr>
              <w:autoSpaceDE w:val="0"/>
              <w:autoSpaceDN w:val="0"/>
            </w:pPr>
            <w:r>
              <w:rPr>
                <w:b/>
              </w:rPr>
              <w:t xml:space="preserve">Course content:</w:t>
            </w:r>
            <w:r>
              <w:t xml:space="preserve"> </w:t>
            </w:r>
          </w:p>
          <w:p w:rsidP="4E0DA806" w14:paraId="698FC9C3" wp14:textId="77777777" wp14:noSpellErr="1">
            <w:pPr>
              <w:autoSpaceDE w:val="0"/>
              <w:autoSpaceDN w:val="0"/>
              <w:rPr>
                <w:i w:val="1"/>
                <w:iCs w:val="1"/>
              </w:rPr>
              <w:pStyle w:val="P68B1DB1-Normlny1"/>
            </w:pPr>
            <w:r w:rsidRPr="4E0DA806" w:rsidR="4E0DA806">
              <w:rPr>
                <w:i w:val="1"/>
                <w:iCs w:val="1"/>
              </w:rPr>
              <w:t>Reading professional texts. Creating your own texts.</w:t>
            </w:r>
          </w:p>
          <w:p w:rsidP="4E0DA806" w14:paraId="3DCCE7EE" wp14:textId="77777777" wp14:noSpellErr="1">
            <w:pPr>
              <w:autoSpaceDE w:val="0"/>
              <w:autoSpaceDN w:val="0"/>
              <w:rPr>
                <w:i w:val="1"/>
                <w:iCs w:val="1"/>
              </w:rPr>
              <w:pStyle w:val="P68B1DB1-Normlny1"/>
            </w:pPr>
            <w:r w:rsidRPr="4E0DA806" w:rsidR="4E0DA806">
              <w:rPr>
                <w:i w:val="1"/>
                <w:iCs w:val="1"/>
              </w:rPr>
              <w:t xml:space="preserve">Conversation topics: </w:t>
            </w:r>
          </w:p>
          <w:p w:rsidP="4E0DA806" w14:paraId="00545626" wp14:textId="77777777" wp14:noSpellErr="1">
            <w:pPr>
              <w:jc w:val="both"/>
              <w:pStyle w:val="P68B1DB1-Normlny1"/>
              <w:rPr>
                <w:i w:val="1"/>
                <w:iCs w:val="1"/>
              </w:rPr>
            </w:pPr>
            <w:r w:rsidRPr="4E0DA806" w:rsidR="4E0DA806">
              <w:rPr>
                <w:i w:val="1"/>
                <w:iCs w:val="1"/>
              </w:rPr>
              <w:t xml:space="preserve">Protection of the environment. Sports. Visual arts. Film and theater. Radio, press. TV. Telephone conversation. </w:t>
            </w:r>
          </w:p>
        </w:tc>
      </w:tr>
      <w:tr xmlns:wp14="http://schemas.microsoft.com/office/word/2010/wordml" w:rsidTr="4E0DA806" w14:paraId="5136AF9B" wp14:textId="77777777">
        <w:tc>
          <w:tcPr>
            <w:tcW w:w="9322" w:type="dxa"/>
            <w:gridSpan w:val="2"/>
            <w:tcMar/>
          </w:tcPr>
          <w:p w:rsidP="4E0DA806" w14:paraId="68ACDB07" wp14:textId="77777777" wp14:noSpellErr="1">
            <w:pPr>
              <w:rPr>
                <w:b w:val="1"/>
                <w:bCs w:val="1"/>
              </w:rPr>
              <w:pStyle w:val="P68B1DB1-Normlny2"/>
            </w:pPr>
            <w:r w:rsidRPr="4E0DA806" w:rsidR="4E0DA806">
              <w:rPr>
                <w:b w:val="1"/>
                <w:bCs w:val="1"/>
              </w:rPr>
              <w:t>Recommended literature:</w:t>
            </w:r>
          </w:p>
          <w:p w14:paraId="4D6B7D9A" wp14:textId="77777777">
            <w:pPr>
              <w:jc w:val="both"/>
              <w:rPr>
                <w:i/>
              </w:rPr>
            </w:pPr>
            <w:r>
              <w:t xml:space="preserve">1. </w:t>
            </w:r>
            <w:r>
              <w:rPr>
                <w:i/>
              </w:rPr>
              <w:t xml:space="preserve">DRATVA, T., BUZNOVÁ, V., 1999. Slovenčina pre cudzincov. Bratislava: Slovenské pedagogické nakladateľstvo                </w:t>
            </w:r>
          </w:p>
          <w:p w14:paraId="42153396" wp14:textId="77777777">
            <w:pPr>
              <w:pStyle w:val="P68B1DB1-Textpoznmkypodiarou4"/>
              <w:widowControl/>
              <w:jc w:val="both"/>
              <w:rPr>
                <w:rFonts w:ascii="Times New Roman" w:hAnsi="Times New Roman"/>
                <w:i/>
                <w:sz w:val="24"/>
              </w:rPr>
            </w:pPr>
            <w:r>
              <w:t xml:space="preserve">2. Krátky slovník slovenského jazyka. 2003. Bratislava: VEDA</w:t>
            </w:r>
          </w:p>
          <w:p w14:paraId="7D7B4E0A" wp14:textId="77777777">
            <w:pPr>
              <w:pStyle w:val="P68B1DB1-Textpoznmkypodiarou4"/>
              <w:widowControl/>
              <w:jc w:val="both"/>
              <w:rPr>
                <w:rFonts w:ascii="Times New Roman" w:hAnsi="Times New Roman"/>
                <w:i/>
                <w:sz w:val="24"/>
              </w:rPr>
            </w:pPr>
            <w:r>
              <w:t xml:space="preserve">3. ČIŽMÁROVÁ, M., BELEY, O., 2012.  Slovensko-ukrajinská konverzačná príručka. Futbal. Turizmus. Prešov: Filozofická fakulta Prešovskej univerzity</w:t>
            </w:r>
          </w:p>
          <w:p w14:paraId="7559EF61" wp14:textId="77777777">
            <w:pPr>
              <w:tabs>
                <w:tab w:val="left" w:pos="9923"/>
              </w:tabs>
              <w:jc w:val="both"/>
              <w:rPr>
                <w:i/>
              </w:rPr>
              <w:pStyle w:val="P68B1DB1-Normlny1"/>
            </w:pPr>
            <w:r>
              <w:t xml:space="preserve">4. ČIŽMÁROVÁ, M., BELEY, L., 2013. Osobovi imena v ukrajinsko-slovackij mižmovnij komunikaciji: Ukrajinsko-slovackyj ta slovacko-ukrajinskyj slovnyky osobovych imen. Užhorod: Vydavnyctvo Gražda</w:t>
            </w:r>
          </w:p>
          <w:p w14:paraId="1DE1BC1F" wp14:textId="77777777">
            <w:pPr>
              <w:jc w:val="both"/>
              <w:rPr>
                <w:i/>
              </w:rPr>
              <w:pStyle w:val="P68B1DB1-Normlny1"/>
            </w:pPr>
            <w:r>
              <w:t xml:space="preserve">5. ČIŽMÁROVÁ, M., KUNDRÁT, J., 2010. Ukrajinsko-slovenský slovník pre základné a stredné školy. Prešov: Nitech</w:t>
            </w:r>
          </w:p>
          <w:p w14:paraId="4BECFA8B" wp14:textId="77777777">
            <w:pPr>
              <w:pStyle w:val="Pta"/>
              <w:tabs>
                <w:tab w:val="left" w:pos="708"/>
              </w:tabs>
              <w:jc w:val="both"/>
            </w:pPr>
            <w:r>
              <w:rPr>
                <w:i/>
              </w:rPr>
              <w:t xml:space="preserve">6. MISTRÍK, J., 2003. Gramatika slovenčiny. Bratislava: Slovenské pedagogické nakladateľstvo</w:t>
            </w:r>
            <w:r>
              <w:t xml:space="preserve"> </w:t>
            </w:r>
          </w:p>
        </w:tc>
      </w:tr>
      <w:tr xmlns:wp14="http://schemas.microsoft.com/office/word/2010/wordml" w:rsidTr="4E0DA806" w14:paraId="35AAFE8B" wp14:textId="77777777">
        <w:tc>
          <w:tcPr>
            <w:tcW w:w="9322" w:type="dxa"/>
            <w:gridSpan w:val="2"/>
            <w:tcMar/>
          </w:tcPr>
          <w:p w14:paraId="2788E074" wp14:textId="77777777">
            <w:r>
              <w:rPr>
                <w:b/>
              </w:rPr>
              <w:t xml:space="preserve">Language which is necessary to complete the course:</w:t>
            </w:r>
            <w:r>
              <w:t xml:space="preserve"> </w:t>
            </w:r>
            <w:r>
              <w:rPr>
                <w:i/>
              </w:rPr>
              <w:t xml:space="preserve">Slovak language </w:t>
            </w:r>
          </w:p>
        </w:tc>
      </w:tr>
      <w:tr xmlns:wp14="http://schemas.microsoft.com/office/word/2010/wordml" w:rsidTr="4E0DA806" w14:paraId="7E31DEC5" wp14:textId="77777777">
        <w:tc>
          <w:tcPr>
            <w:tcW w:w="9322" w:type="dxa"/>
            <w:gridSpan w:val="2"/>
            <w:tcMar/>
          </w:tcPr>
          <w:p w14:paraId="22EBCDD1" wp14:textId="77777777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new course</w:t>
            </w:r>
          </w:p>
        </w:tc>
      </w:tr>
      <w:tr xmlns:wp14="http://schemas.microsoft.com/office/word/2010/wordml" w:rsidTr="4E0DA806" w14:paraId="22FC1D25" wp14:textId="77777777">
        <w:tc>
          <w:tcPr>
            <w:tcW w:w="9322" w:type="dxa"/>
            <w:gridSpan w:val="2"/>
            <w:tcMar/>
          </w:tcPr>
          <w:p w:rsidP="4E0DA806" w14:paraId="12CEC339" wp14:textId="77777777" wp14:noSpellErr="1">
            <w:pPr>
              <w:rPr>
                <w:b w:val="1"/>
                <w:bCs w:val="1"/>
              </w:rPr>
              <w:pStyle w:val="P68B1DB1-Normlny2"/>
            </w:pPr>
            <w:r w:rsidRPr="4E0DA806" w:rsidR="4E0DA806">
              <w:rPr>
                <w:b w:val="1"/>
                <w:bCs w:val="1"/>
              </w:rPr>
              <w:t>Course evaluation</w:t>
            </w:r>
          </w:p>
          <w:p w14:paraId="2135EAF5" wp14:textId="77777777">
            <w:pPr>
              <w:rPr>
                <w:i/>
                <w:color w:val="000000"/>
              </w:rPr>
              <w:pStyle w:val="P68B1DB1-Normlny5"/>
            </w:pPr>
            <w:r>
              <w:t xml:space="preserve">Total number of evaluated students: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14:paraId="6694E20F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16D17B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ED4E73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AAF844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740529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5AEDD99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73770C9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FX</w:t>
                  </w:r>
                </w:p>
              </w:tc>
            </w:tr>
            <w:tr w14:paraId="25428EBD" wp14:textId="77777777">
              <w:tc>
                <w:tcPr>
                  <w:tcW w:w="14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414B93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18C83E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EA4D56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418A138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84A9CAB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B385FE2" wp14:textId="77777777">
                  <w:pPr>
                    <w:jc w:val="center"/>
                    <w:rPr>
                      <w:i/>
                      <w:color w:val="000000"/>
                    </w:rPr>
                    <w:pStyle w:val="P68B1DB1-Normlny6"/>
                  </w:pPr>
                  <w:r>
                    <w:t>0%</w:t>
                  </w:r>
                </w:p>
              </w:tc>
            </w:tr>
          </w:tbl>
          <w:p w14:paraId="5DAB6C7B" wp14:textId="77777777">
            <w:pPr>
              <w:rPr>
                <w:i/>
              </w:rPr>
            </w:pPr>
          </w:p>
        </w:tc>
      </w:tr>
      <w:tr xmlns:wp14="http://schemas.microsoft.com/office/word/2010/wordml" w:rsidTr="4E0DA806" w14:paraId="2E323A69" wp14:textId="77777777">
        <w:tc>
          <w:tcPr>
            <w:tcW w:w="9322" w:type="dxa"/>
            <w:gridSpan w:val="2"/>
            <w:tcMar/>
          </w:tcPr>
          <w:p w14:paraId="4BF0C61C" wp14:textId="77777777">
            <w:pPr>
              <w:tabs>
                <w:tab w:val="left" w:pos="1530"/>
              </w:tabs>
              <w:rPr>
                <w:i/>
              </w:rPr>
            </w:pPr>
            <w:r>
              <w:rPr>
                <w:b/>
              </w:rPr>
              <w:t>Lecturers:</w:t>
            </w:r>
            <w:r>
              <w:t xml:space="preserve"> </w:t>
            </w:r>
            <w:r>
              <w:rPr>
                <w:i/>
              </w:rPr>
              <w:t xml:space="preserve">Prof. PhDr. Mária Čižmárová, CSc., guarantor, lecturer, examiner, instructor, seminar leader</w:t>
            </w:r>
          </w:p>
        </w:tc>
      </w:tr>
      <w:tr xmlns:wp14="http://schemas.microsoft.com/office/word/2010/wordml" w:rsidTr="4E0DA806" w14:paraId="468A0442" wp14:textId="77777777">
        <w:tc>
          <w:tcPr>
            <w:tcW w:w="9322" w:type="dxa"/>
            <w:gridSpan w:val="2"/>
            <w:tcMar/>
          </w:tcPr>
          <w:p w14:paraId="4F91530D" wp14:textId="77777777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 xml:space="preserve">Date of last change: </w:t>
            </w:r>
            <w:r>
              <w:rPr>
                <w:i/>
              </w:rPr>
              <w:t xml:space="preserve">31 January 2022 </w:t>
            </w:r>
          </w:p>
        </w:tc>
      </w:tr>
      <w:tr xmlns:wp14="http://schemas.microsoft.com/office/word/2010/wordml" w:rsidTr="4E0DA806" w14:paraId="4CA0C55B" wp14:textId="77777777">
        <w:tc>
          <w:tcPr>
            <w:tcW w:w="9322" w:type="dxa"/>
            <w:gridSpan w:val="2"/>
            <w:tcMar/>
          </w:tcPr>
          <w:p w14:paraId="4B5FB010" wp14:textId="77777777">
            <w:pPr>
              <w:tabs>
                <w:tab w:val="left" w:pos="1530"/>
              </w:tabs>
              <w:rPr>
                <w:i/>
              </w:rPr>
            </w:pPr>
            <w:r>
              <w:rPr>
                <w:b/>
              </w:rPr>
              <w:t xml:space="preserve">Approved by:</w:t>
            </w:r>
            <w:r>
              <w:t xml:space="preserve"> </w:t>
            </w:r>
            <w:r>
              <w:rPr>
                <w:i/>
              </w:rPr>
              <w:t xml:space="preserve">Prof. PhDr. Mária Čižmárová, CSc.</w:t>
            </w:r>
          </w:p>
        </w:tc>
      </w:tr>
    </w:tbl>
    <w:p xmlns:wp14="http://schemas.microsoft.com/office/word/2010/wordml" w14:paraId="02EB378F" wp14:textId="77777777"/>
    <w:p xmlns:wp14="http://schemas.microsoft.com/office/word/2010/wordml" w14:paraId="6A05A809" wp14:textId="77777777"/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0"/>
    <w:rsid w:val="000277F0"/>
    <w:rsid w:val="00125D3A"/>
    <w:rsid w:val="001C4C80"/>
    <w:rsid w:val="00253DD4"/>
    <w:rsid w:val="002A1EAA"/>
    <w:rsid w:val="00311464"/>
    <w:rsid w:val="0043316B"/>
    <w:rsid w:val="004528FD"/>
    <w:rsid w:val="00487C13"/>
    <w:rsid w:val="004E5E9D"/>
    <w:rsid w:val="005513E5"/>
    <w:rsid w:val="00574180"/>
    <w:rsid w:val="006F23E3"/>
    <w:rsid w:val="006F60C7"/>
    <w:rsid w:val="00780EE0"/>
    <w:rsid w:val="009A5128"/>
    <w:rsid w:val="00A2377B"/>
    <w:rsid w:val="00AA6167"/>
    <w:rsid w:val="00B83BD1"/>
    <w:rsid w:val="00C20BB9"/>
    <w:rsid w:val="00C36715"/>
    <w:rsid w:val="00CB513F"/>
    <w:rsid w:val="00CD4325"/>
    <w:rsid w:val="00CD7B40"/>
    <w:rsid w:val="00E90EFC"/>
    <w:rsid w:val="145E64D6"/>
    <w:rsid w:val="15FA3537"/>
    <w:rsid w:val="45835850"/>
    <w:rsid w:val="45835850"/>
    <w:rsid w:val="4E0DA806"/>
    <w:rsid w:val="52F8A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72EF"/>
  <w15:docId w15:val="{E2137600-CA5F-483A-91CA-4DD2CB8EF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pPrDefault>
      <w:pPr>
        <w:spacing w:after="200" w:line="276" w:lineRule="auto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y" w:default="1">
    <w:name w:val="Normal"/>
    <w:qFormat/>
    <w:rsid w:val="00311464"/>
    <w:pPr>
      <w:spacing w:after="0" w:line="240" w:lineRule="auto"/>
    </w:pPr>
    <w:rPr>
      <w:rFonts w:ascii="Times New Roman" w:hAnsi="Times New Roman" w:eastAsia="Times New Roman" w:cs="Times New Roman"/>
      <w:sz w:val="24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11464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311464"/>
    <w:rPr>
      <w:rFonts w:ascii="Times New Roman" w:hAnsi="Times New Roman" w:eastAsia="Times New Roman" w:cs="Times New Roman"/>
      <w:sz w:val="24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locked/>
    <w:rsid w:val="00311464"/>
    <w:rPr>
      <w:rFonts w:ascii="Calibri" w:hAnsi="Calibri" w:cs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11464"/>
    <w:pPr>
      <w:widowControl w:val="0"/>
    </w:pPr>
    <w:rPr>
      <w:rFonts w:ascii="Calibri" w:hAnsi="Calibri" w:eastAsiaTheme="minorHAnsi"/>
      <w:sz w:val="20"/>
    </w:rPr>
  </w:style>
  <w:style w:type="character" w:styleId="TextpoznmkypodiarouChar1" w:customStyle="1">
    <w:name w:val="Text poznámky pod čiarou Char1"/>
    <w:basedOn w:val="Predvolenpsmoodseku"/>
    <w:uiPriority w:val="99"/>
    <w:semiHidden/>
    <w:rsid w:val="00311464"/>
    <w:rPr>
      <w:rFonts w:ascii="Times New Roman" w:hAnsi="Times New Roman" w:eastAsia="Times New Roman" w:cs="Times New Roman"/>
      <w:sz w:val="20"/>
    </w:rPr>
  </w:style>
  <w:style w:type="paragraph" w:styleId="Default" w:customStyle="1">
    <w:name w:val="Default"/>
    <w:rsid w:val="00E90EF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P68B1DB1-Normlny1">
    <w:name w:val="P68B1DB1-Normlny1"/>
    <w:basedOn w:val="Normlny"/>
    <w:rPr>
      <w:i/>
    </w:rPr>
  </w:style>
  <w:style w:type="paragraph" w:styleId="P68B1DB1-Normlny2">
    <w:name w:val="P68B1DB1-Normlny2"/>
    <w:basedOn w:val="Normlny"/>
    <w:rPr>
      <w:b/>
    </w:rPr>
  </w:style>
  <w:style w:type="paragraph" w:styleId="P68B1DB1-Default3">
    <w:name w:val="P68B1DB1-Default3"/>
    <w:basedOn w:val="Default"/>
    <w:rPr>
      <w:b/>
    </w:rPr>
  </w:style>
  <w:style w:type="paragraph" w:styleId="P68B1DB1-Textpoznmkypodiarou4">
    <w:name w:val="P68B1DB1-Textpoznmkypodiarou4"/>
    <w:basedOn w:val="Textpoznmkypodiarou"/>
    <w:rPr>
      <w:rFonts w:ascii="Times New Roman" w:hAnsi="Times New Roman"/>
      <w:i/>
      <w:sz w:val="24"/>
    </w:rPr>
  </w:style>
  <w:style w:type="paragraph" w:styleId="P68B1DB1-Normlny5">
    <w:name w:val="P68B1DB1-Normlny5"/>
    <w:basedOn w:val="Normlny"/>
    <w:rPr>
      <w:color w:val="000000"/>
    </w:rPr>
  </w:style>
  <w:style w:type="paragraph" w:styleId="P68B1DB1-Normlny6">
    <w:name w:val="P68B1DB1-Normlny6"/>
    <w:basedOn w:val="Normlny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114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46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1464"/>
    <w:rPr>
      <w:rFonts w:ascii="Calibri" w:hAnsi="Calibri" w:cs="Times New Roman"/>
      <w:sz w:val="20"/>
      <w:szCs w:val="20"/>
      <w:lang w:val="en-GB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11464"/>
    <w:pPr>
      <w:widowControl w:val="0"/>
    </w:pPr>
    <w:rPr>
      <w:rFonts w:ascii="Calibri" w:eastAsiaTheme="minorHAnsi" w:hAnsi="Calibri"/>
      <w:sz w:val="20"/>
      <w:szCs w:val="20"/>
      <w:lang w:val="en-GB"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31146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E90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BCFB9-66DC-4EB6-8DB3-4CCA0A3F8A8D}"/>
</file>

<file path=customXml/itemProps2.xml><?xml version="1.0" encoding="utf-8"?>
<ds:datastoreItem xmlns:ds="http://schemas.openxmlformats.org/officeDocument/2006/customXml" ds:itemID="{D2CA0676-89CA-4D4D-AEE7-58F840F8257A}"/>
</file>

<file path=customXml/itemProps3.xml><?xml version="1.0" encoding="utf-8"?>
<ds:datastoreItem xmlns:ds="http://schemas.openxmlformats.org/officeDocument/2006/customXml" ds:itemID="{2568D5D7-B325-4DA1-BDA0-8C5D4490B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Nastenko Anastasiia</cp:lastModifiedBy>
  <cp:revision>14</cp:revision>
  <dcterms:created xsi:type="dcterms:W3CDTF">2022-01-25T12:51:00Z</dcterms:created>
  <dcterms:modified xsi:type="dcterms:W3CDTF">2022-02-20T07:00:11Z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