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F374F4" w:rsidRDefault="009B58BB">
      <w:pPr>
        <w:ind w:left="720"/>
        <w:jc w:val="right"/>
      </w:pPr>
      <w:r>
        <w:t>COURSE DESCRIPTION</w:t>
      </w:r>
    </w:p>
    <w:p w14:paraId="672A6659" w14:textId="77777777" w:rsidR="00F374F4" w:rsidRDefault="00F374F4">
      <w:pPr>
        <w:ind w:left="720"/>
        <w:jc w:val="center"/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F374F4" w14:paraId="654726A2" w14:textId="77777777" w:rsidTr="175F664F">
        <w:tc>
          <w:tcPr>
            <w:tcW w:w="9322" w:type="dxa"/>
            <w:gridSpan w:val="2"/>
          </w:tcPr>
          <w:p w14:paraId="637A4064" w14:textId="77777777" w:rsidR="00F374F4" w:rsidRDefault="009B58BB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</w:p>
        </w:tc>
      </w:tr>
      <w:tr w:rsidR="00F374F4" w14:paraId="14129AA2" w14:textId="77777777" w:rsidTr="175F664F">
        <w:tc>
          <w:tcPr>
            <w:tcW w:w="9322" w:type="dxa"/>
            <w:gridSpan w:val="2"/>
          </w:tcPr>
          <w:p w14:paraId="5182F384" w14:textId="77777777" w:rsidR="00F374F4" w:rsidRDefault="009B58BB"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F374F4" w14:paraId="2CB5209D" w14:textId="77777777" w:rsidTr="175F664F">
        <w:tc>
          <w:tcPr>
            <w:tcW w:w="4110" w:type="dxa"/>
          </w:tcPr>
          <w:p w14:paraId="511B281A" w14:textId="4188B24E" w:rsidR="00F374F4" w:rsidRDefault="175F664F">
            <w:proofErr w:type="spellStart"/>
            <w:r w:rsidRPr="175F664F">
              <w:rPr>
                <w:b/>
                <w:bCs/>
              </w:rPr>
              <w:t>Code</w:t>
            </w:r>
            <w:proofErr w:type="spellEnd"/>
            <w:r w:rsidRPr="175F664F">
              <w:rPr>
                <w:b/>
                <w:bCs/>
              </w:rPr>
              <w:t>:</w:t>
            </w:r>
            <w:r>
              <w:t xml:space="preserve"> 1IUKR/UFONE/22</w:t>
            </w:r>
          </w:p>
        </w:tc>
        <w:tc>
          <w:tcPr>
            <w:tcW w:w="5212" w:type="dxa"/>
          </w:tcPr>
          <w:p w14:paraId="131F9195" w14:textId="19403E5F" w:rsidR="00F374F4" w:rsidRDefault="009B58BB" w:rsidP="009B58BB">
            <w:pPr>
              <w:pStyle w:val="P68B1DB1-Normlny1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: </w:t>
            </w:r>
            <w:bookmarkStart w:id="0" w:name="_GoBack"/>
            <w:proofErr w:type="spellStart"/>
            <w:r>
              <w:t>Phonetics</w:t>
            </w:r>
            <w:proofErr w:type="spellEnd"/>
            <w:r>
              <w:t xml:space="preserve"> and </w:t>
            </w:r>
            <w:proofErr w:type="spellStart"/>
            <w:r>
              <w:t>Phonology</w:t>
            </w:r>
            <w:proofErr w:type="spellEnd"/>
            <w:r>
              <w:t xml:space="preserve"> </w:t>
            </w:r>
            <w:bookmarkEnd w:id="0"/>
            <w:r>
              <w:t>(P)</w:t>
            </w:r>
          </w:p>
        </w:tc>
      </w:tr>
      <w:tr w:rsidR="00F374F4" w14:paraId="771E495A" w14:textId="77777777" w:rsidTr="175F664F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F374F4" w:rsidRDefault="009B58BB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51827C87" w14:textId="77777777" w:rsidR="00F374F4" w:rsidRDefault="009B58BB"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 per </w:t>
            </w:r>
            <w:proofErr w:type="spellStart"/>
            <w:r>
              <w:t>week</w:t>
            </w:r>
            <w:proofErr w:type="spellEnd"/>
            <w:r>
              <w:t xml:space="preserve">, </w:t>
            </w:r>
            <w:proofErr w:type="spellStart"/>
            <w:r>
              <w:t>total</w:t>
            </w:r>
            <w:proofErr w:type="spellEnd"/>
            <w:r>
              <w:t xml:space="preserve"> per semester: 13 L/ 13 S.</w:t>
            </w:r>
          </w:p>
          <w:p w14:paraId="3EB8DD20" w14:textId="77777777" w:rsidR="00F374F4" w:rsidRDefault="009B58BB"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>.</w:t>
            </w:r>
          </w:p>
        </w:tc>
      </w:tr>
      <w:tr w:rsidR="00F374F4" w14:paraId="50704462" w14:textId="77777777" w:rsidTr="175F664F">
        <w:trPr>
          <w:trHeight w:val="286"/>
        </w:trPr>
        <w:tc>
          <w:tcPr>
            <w:tcW w:w="9322" w:type="dxa"/>
            <w:gridSpan w:val="2"/>
          </w:tcPr>
          <w:p w14:paraId="73E23EB6" w14:textId="77777777" w:rsidR="00F374F4" w:rsidRDefault="009B58BB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t xml:space="preserve"> 3</w:t>
            </w:r>
          </w:p>
        </w:tc>
      </w:tr>
      <w:tr w:rsidR="00F374F4" w14:paraId="1F19C1D9" w14:textId="77777777" w:rsidTr="175F664F">
        <w:tc>
          <w:tcPr>
            <w:tcW w:w="9322" w:type="dxa"/>
            <w:gridSpan w:val="2"/>
          </w:tcPr>
          <w:p w14:paraId="2ED1DCD3" w14:textId="77777777" w:rsidR="00F374F4" w:rsidRDefault="009B58BB"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1st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F374F4" w14:paraId="63AF997A" w14:textId="77777777" w:rsidTr="175F664F">
        <w:tc>
          <w:tcPr>
            <w:tcW w:w="9322" w:type="dxa"/>
            <w:gridSpan w:val="2"/>
          </w:tcPr>
          <w:p w14:paraId="2F804F8A" w14:textId="77777777" w:rsidR="00F374F4" w:rsidRDefault="009B58BB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F374F4" w14:paraId="35356A1E" w14:textId="77777777" w:rsidTr="175F664F">
        <w:tc>
          <w:tcPr>
            <w:tcW w:w="9322" w:type="dxa"/>
            <w:gridSpan w:val="2"/>
          </w:tcPr>
          <w:p w14:paraId="1417387A" w14:textId="77777777" w:rsidR="00F374F4" w:rsidRDefault="009B58BB">
            <w:proofErr w:type="spellStart"/>
            <w:r>
              <w:rPr>
                <w:b/>
              </w:rPr>
              <w:t>Prerequisite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none</w:t>
            </w:r>
            <w:proofErr w:type="spellEnd"/>
          </w:p>
        </w:tc>
      </w:tr>
      <w:tr w:rsidR="00F374F4" w14:paraId="78AFE270" w14:textId="77777777" w:rsidTr="175F664F">
        <w:tc>
          <w:tcPr>
            <w:tcW w:w="9322" w:type="dxa"/>
            <w:gridSpan w:val="2"/>
          </w:tcPr>
          <w:p w14:paraId="402B2EBA" w14:textId="77777777" w:rsidR="00F374F4" w:rsidRDefault="009B58BB"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BB283AA" w14:textId="77777777" w:rsidR="00F374F4" w:rsidRDefault="009B58BB">
            <w:pPr>
              <w:jc w:val="both"/>
            </w:pP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semester,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,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obtain</w:t>
            </w:r>
            <w:proofErr w:type="spellEnd"/>
            <w:r>
              <w:t xml:space="preserve"> a maximum </w:t>
            </w:r>
            <w:proofErr w:type="spellStart"/>
            <w:r>
              <w:t>of</w:t>
            </w:r>
            <w:proofErr w:type="spellEnd"/>
            <w:r>
              <w:t xml:space="preserve"> 70 </w:t>
            </w:r>
            <w:proofErr w:type="spellStart"/>
            <w:r>
              <w:t>points</w:t>
            </w:r>
            <w:proofErr w:type="spellEnd"/>
            <w:r>
              <w:t xml:space="preserve"> (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transcription</w:t>
            </w:r>
            <w:proofErr w:type="spellEnd"/>
            <w:r>
              <w:t xml:space="preserve"> </w:t>
            </w:r>
            <w:proofErr w:type="spellStart"/>
            <w:r>
              <w:t>notation</w:t>
            </w:r>
            <w:proofErr w:type="spellEnd"/>
            <w:r>
              <w:t xml:space="preserve"> and </w:t>
            </w:r>
            <w:proofErr w:type="spellStart"/>
            <w:r>
              <w:t>phonological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short</w:t>
            </w:r>
            <w:proofErr w:type="spellEnd"/>
            <w:r>
              <w:t xml:space="preserve"> text and 3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). </w:t>
            </w:r>
            <w:proofErr w:type="spellStart"/>
            <w:r>
              <w:t>Furthermore</w:t>
            </w:r>
            <w:proofErr w:type="spellEnd"/>
            <w:r>
              <w:t xml:space="preserve">,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,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(</w:t>
            </w:r>
            <w:proofErr w:type="spellStart"/>
            <w:r>
              <w:t>allowed</w:t>
            </w:r>
            <w:proofErr w:type="spellEnd"/>
            <w:r>
              <w:t xml:space="preserve"> max. 2 </w:t>
            </w:r>
            <w:proofErr w:type="spellStart"/>
            <w:r>
              <w:t>absences</w:t>
            </w:r>
            <w:proofErr w:type="spellEnd"/>
            <w:r>
              <w:t xml:space="preserve">) and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. </w:t>
            </w:r>
            <w:proofErr w:type="spellStart"/>
            <w:r>
              <w:t>Seminar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 xml:space="preserve"> by 30 </w:t>
            </w:r>
            <w:proofErr w:type="spellStart"/>
            <w:r>
              <w:t>points</w:t>
            </w:r>
            <w:proofErr w:type="spellEnd"/>
            <w:r>
              <w:t xml:space="preserve"> (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20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and 10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fulfilling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). In </w:t>
            </w:r>
            <w:proofErr w:type="spellStart"/>
            <w:r>
              <w:t>total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r>
              <w:t xml:space="preserve">get 100 </w:t>
            </w:r>
            <w:proofErr w:type="spellStart"/>
            <w:r>
              <w:t>points</w:t>
            </w:r>
            <w:proofErr w:type="spellEnd"/>
            <w:r>
              <w:t xml:space="preserve">. To </w:t>
            </w:r>
            <w:proofErr w:type="spellStart"/>
            <w:r>
              <w:t>obtain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A,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to get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90 </w:t>
            </w:r>
            <w:proofErr w:type="spellStart"/>
            <w:r>
              <w:t>points</w:t>
            </w:r>
            <w:proofErr w:type="spellEnd"/>
            <w:r>
              <w:t xml:space="preserve">, B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80 </w:t>
            </w:r>
            <w:proofErr w:type="spellStart"/>
            <w:r>
              <w:t>points</w:t>
            </w:r>
            <w:proofErr w:type="spellEnd"/>
            <w:r>
              <w:t xml:space="preserve">, C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70 </w:t>
            </w:r>
            <w:proofErr w:type="spellStart"/>
            <w:r>
              <w:t>points</w:t>
            </w:r>
            <w:proofErr w:type="spellEnd"/>
            <w:r>
              <w:t xml:space="preserve">, D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60 </w:t>
            </w:r>
            <w:proofErr w:type="spellStart"/>
            <w:r>
              <w:t>points</w:t>
            </w:r>
            <w:proofErr w:type="spellEnd"/>
            <w:r>
              <w:t xml:space="preserve"> and 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50 </w:t>
            </w:r>
            <w:proofErr w:type="spellStart"/>
            <w:r>
              <w:t>points</w:t>
            </w:r>
            <w:proofErr w:type="spellEnd"/>
            <w:r>
              <w:t xml:space="preserve">. </w:t>
            </w:r>
            <w:proofErr w:type="spellStart"/>
            <w:r>
              <w:t>Credits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to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scores</w:t>
            </w:r>
            <w:proofErr w:type="spellEnd"/>
            <w:r>
              <w:t xml:space="preserve">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50 </w:t>
            </w:r>
            <w:proofErr w:type="spellStart"/>
            <w:r>
              <w:t>points</w:t>
            </w:r>
            <w:proofErr w:type="spellEnd"/>
            <w:r>
              <w:t xml:space="preserve"> in </w:t>
            </w:r>
            <w:proofErr w:type="spellStart"/>
            <w:r>
              <w:t>to</w:t>
            </w:r>
            <w:r>
              <w:t>tal</w:t>
            </w:r>
            <w:proofErr w:type="spellEnd"/>
            <w:r>
              <w:t>.</w:t>
            </w:r>
          </w:p>
        </w:tc>
      </w:tr>
      <w:tr w:rsidR="00F374F4" w14:paraId="440D0400" w14:textId="77777777" w:rsidTr="175F664F">
        <w:tc>
          <w:tcPr>
            <w:tcW w:w="9322" w:type="dxa"/>
            <w:gridSpan w:val="2"/>
          </w:tcPr>
          <w:p w14:paraId="6986EBC2" w14:textId="77777777" w:rsidR="00F374F4" w:rsidRDefault="009B58BB"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76B3095C" w14:textId="77777777" w:rsidR="00F374F4" w:rsidRDefault="009B58BB">
            <w:pPr>
              <w:pStyle w:val="P68B1DB1-Normlny2"/>
              <w:jc w:val="both"/>
            </w:pPr>
            <w:proofErr w:type="spellStart"/>
            <w:r>
              <w:rPr>
                <w:b/>
              </w:rPr>
              <w:t>Knowledge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sounds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body,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essence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,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vowels</w:t>
            </w:r>
            <w:proofErr w:type="spellEnd"/>
            <w:r>
              <w:t xml:space="preserve"> and </w:t>
            </w:r>
            <w:proofErr w:type="spellStart"/>
            <w:r>
              <w:t>consonants</w:t>
            </w:r>
            <w:proofErr w:type="spellEnd"/>
            <w:r>
              <w:t xml:space="preserve">,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suprasegmental</w:t>
            </w:r>
            <w:proofErr w:type="spellEnd"/>
            <w:r>
              <w:t xml:space="preserve"> </w:t>
            </w:r>
            <w:proofErr w:type="spellStart"/>
            <w:r>
              <w:t>phenomena</w:t>
            </w:r>
            <w:proofErr w:type="spellEnd"/>
            <w:r>
              <w:t xml:space="preserve"> a</w:t>
            </w:r>
            <w:r>
              <w:t xml:space="preserve">nd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conceptual</w:t>
            </w:r>
            <w:proofErr w:type="spellEnd"/>
            <w:r>
              <w:t xml:space="preserve"> </w:t>
            </w:r>
            <w:proofErr w:type="spellStart"/>
            <w:r>
              <w:t>apparatus</w:t>
            </w:r>
            <w:proofErr w:type="spellEnd"/>
            <w:r>
              <w:t xml:space="preserve"> by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phenomena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are </w:t>
            </w:r>
            <w:proofErr w:type="spellStart"/>
            <w:r>
              <w:t>explained</w:t>
            </w:r>
            <w:proofErr w:type="spellEnd"/>
            <w:r>
              <w:t xml:space="preserve"> (</w:t>
            </w:r>
            <w:proofErr w:type="spellStart"/>
            <w:r>
              <w:t>according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syllabus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).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phenomena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>
              <w:t>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pronunciation</w:t>
            </w:r>
            <w:proofErr w:type="spellEnd"/>
            <w:r>
              <w:t xml:space="preserve"> </w:t>
            </w:r>
            <w:proofErr w:type="spellStart"/>
            <w:r>
              <w:t>standards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>.</w:t>
            </w:r>
          </w:p>
          <w:p w14:paraId="3D8A5324" w14:textId="77777777" w:rsidR="00F374F4" w:rsidRDefault="009B58BB">
            <w:pPr>
              <w:pStyle w:val="P68B1DB1-Normlny2"/>
              <w:jc w:val="both"/>
            </w:pPr>
            <w:proofErr w:type="spellStart"/>
            <w:r>
              <w:rPr>
                <w:b/>
              </w:rPr>
              <w:t>Skills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text in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perform</w:t>
            </w:r>
            <w:proofErr w:type="spellEnd"/>
            <w:r>
              <w:t xml:space="preserve"> </w:t>
            </w:r>
            <w:proofErr w:type="spellStart"/>
            <w:r>
              <w:t>phonetic</w:t>
            </w:r>
            <w:proofErr w:type="spellEnd"/>
            <w:r>
              <w:t xml:space="preserve"> </w:t>
            </w:r>
            <w:proofErr w:type="spellStart"/>
            <w:r>
              <w:t>transcription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text.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text </w:t>
            </w:r>
            <w:proofErr w:type="spellStart"/>
            <w:r>
              <w:t>correctly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</w:t>
            </w:r>
            <w:r>
              <w:t>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phonetic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and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suprasegmental</w:t>
            </w:r>
            <w:proofErr w:type="spellEnd"/>
            <w:r>
              <w:t xml:space="preserve"> </w:t>
            </w:r>
            <w:proofErr w:type="spellStart"/>
            <w:r>
              <w:t>phenomena</w:t>
            </w:r>
            <w:proofErr w:type="spellEnd"/>
            <w:r>
              <w:t>.</w:t>
            </w:r>
          </w:p>
          <w:p w14:paraId="377C4031" w14:textId="77777777" w:rsidR="00F374F4" w:rsidRDefault="009B58BB">
            <w:pPr>
              <w:pStyle w:val="P68B1DB1-Normlny2"/>
              <w:jc w:val="both"/>
            </w:pPr>
            <w:proofErr w:type="spellStart"/>
            <w:r>
              <w:rPr>
                <w:b/>
              </w:rPr>
              <w:t>Competences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segmental</w:t>
            </w:r>
            <w:proofErr w:type="spellEnd"/>
            <w:r>
              <w:t xml:space="preserve"> and </w:t>
            </w:r>
            <w:proofErr w:type="spellStart"/>
            <w:r>
              <w:t>suprasegmental</w:t>
            </w:r>
            <w:proofErr w:type="spellEnd"/>
            <w:r>
              <w:t xml:space="preserve"> </w:t>
            </w:r>
            <w:proofErr w:type="spellStart"/>
            <w:r>
              <w:t>phenomena</w:t>
            </w:r>
            <w:proofErr w:type="spellEnd"/>
            <w:r>
              <w:t xml:space="preserve"> in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spoken</w:t>
            </w:r>
            <w:proofErr w:type="spellEnd"/>
            <w:r>
              <w:t xml:space="preserve"> and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r>
              <w:t>oken</w:t>
            </w:r>
            <w:proofErr w:type="spellEnd"/>
            <w:r>
              <w:t xml:space="preserve"> and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significant</w:t>
            </w:r>
            <w:proofErr w:type="spellEnd"/>
            <w:r>
              <w:t xml:space="preserve"> </w:t>
            </w:r>
            <w:proofErr w:type="spellStart"/>
            <w:r>
              <w:t>phonetic</w:t>
            </w:r>
            <w:proofErr w:type="spellEnd"/>
            <w:r>
              <w:t xml:space="preserve"> and </w:t>
            </w:r>
            <w:proofErr w:type="spellStart"/>
            <w:r>
              <w:t>spelling</w:t>
            </w:r>
            <w:proofErr w:type="spellEnd"/>
            <w:r>
              <w:t xml:space="preserve"> </w:t>
            </w:r>
            <w:proofErr w:type="spellStart"/>
            <w:r>
              <w:t>errors</w:t>
            </w:r>
            <w:proofErr w:type="spellEnd"/>
            <w:r>
              <w:t>.</w:t>
            </w:r>
          </w:p>
        </w:tc>
      </w:tr>
      <w:tr w:rsidR="00F374F4" w14:paraId="4C35C6BA" w14:textId="77777777" w:rsidTr="175F664F">
        <w:tc>
          <w:tcPr>
            <w:tcW w:w="9322" w:type="dxa"/>
            <w:gridSpan w:val="2"/>
          </w:tcPr>
          <w:p w14:paraId="22917055" w14:textId="77777777" w:rsidR="00F374F4" w:rsidRDefault="009B58BB">
            <w:pPr>
              <w:pStyle w:val="Zkladntext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4FC39419" w14:textId="77777777" w:rsidR="00F374F4" w:rsidRDefault="009B58BB">
            <w:pPr>
              <w:pStyle w:val="P68B1DB1-Zkladntext3"/>
            </w:pP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phonetics</w:t>
            </w:r>
            <w:proofErr w:type="spellEnd"/>
            <w:r>
              <w:t xml:space="preserve"> and </w:t>
            </w:r>
            <w:proofErr w:type="spellStart"/>
            <w:r>
              <w:t>phonology</w:t>
            </w:r>
            <w:proofErr w:type="spellEnd"/>
            <w:r>
              <w:t xml:space="preserve">. </w:t>
            </w:r>
            <w:proofErr w:type="spellStart"/>
            <w:r>
              <w:t>Anatomical-physiological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.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apparatus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anatomy</w:t>
            </w:r>
            <w:proofErr w:type="spellEnd"/>
            <w:r>
              <w:t xml:space="preserve">. </w:t>
            </w:r>
            <w:proofErr w:type="spellStart"/>
            <w:r>
              <w:t>Acoustic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sounds</w:t>
            </w:r>
            <w:proofErr w:type="spellEnd"/>
            <w:r>
              <w:t xml:space="preserve">. </w:t>
            </w:r>
            <w:proofErr w:type="spellStart"/>
            <w:r>
              <w:t>Voices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units</w:t>
            </w:r>
            <w:proofErr w:type="spellEnd"/>
            <w:r>
              <w:t xml:space="preserve"> in </w:t>
            </w:r>
            <w:proofErr w:type="spellStart"/>
            <w:r>
              <w:t>linguistics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phonemes</w:t>
            </w:r>
            <w:proofErr w:type="spellEnd"/>
            <w:r>
              <w:t xml:space="preserve"> in </w:t>
            </w:r>
            <w:proofErr w:type="spellStart"/>
            <w:r>
              <w:t>linguistics</w:t>
            </w:r>
            <w:proofErr w:type="spellEnd"/>
            <w:r>
              <w:t xml:space="preserve">. </w:t>
            </w:r>
            <w:proofErr w:type="spellStart"/>
            <w:r>
              <w:t>Phoneme</w:t>
            </w:r>
            <w:proofErr w:type="spellEnd"/>
            <w:r>
              <w:t xml:space="preserve"> </w:t>
            </w:r>
            <w:proofErr w:type="spellStart"/>
            <w:r>
              <w:t>allophones</w:t>
            </w:r>
            <w:proofErr w:type="spellEnd"/>
            <w:r>
              <w:t xml:space="preserve">. </w:t>
            </w:r>
            <w:proofErr w:type="spellStart"/>
            <w:r>
              <w:t>Phoneme</w:t>
            </w:r>
            <w:proofErr w:type="spellEnd"/>
            <w:r>
              <w:t xml:space="preserve"> </w:t>
            </w:r>
            <w:proofErr w:type="spellStart"/>
            <w:r>
              <w:t>definition</w:t>
            </w:r>
            <w:proofErr w:type="spellEnd"/>
            <w:r>
              <w:t xml:space="preserve">. </w:t>
            </w:r>
            <w:proofErr w:type="spellStart"/>
            <w:r>
              <w:t>Transcription</w:t>
            </w:r>
            <w:proofErr w:type="spellEnd"/>
            <w:r>
              <w:t xml:space="preserve">. </w:t>
            </w:r>
            <w:proofErr w:type="spellStart"/>
            <w:r>
              <w:t>Phonetic</w:t>
            </w:r>
            <w:proofErr w:type="spellEnd"/>
            <w:r>
              <w:t xml:space="preserve"> and </w:t>
            </w:r>
            <w:proofErr w:type="spellStart"/>
            <w:r>
              <w:t>phonological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in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. </w:t>
            </w:r>
            <w:proofErr w:type="spellStart"/>
            <w:r>
              <w:t>Phonological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vowels</w:t>
            </w:r>
            <w:proofErr w:type="spellEnd"/>
            <w:r>
              <w:t xml:space="preserve">. </w:t>
            </w:r>
            <w:proofErr w:type="spellStart"/>
            <w:r>
              <w:t>Phonological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consonants</w:t>
            </w:r>
            <w:proofErr w:type="spellEnd"/>
            <w:r>
              <w:t xml:space="preserve">. </w:t>
            </w:r>
            <w:proofErr w:type="spellStart"/>
            <w:r>
              <w:t>Phoneme</w:t>
            </w:r>
            <w:proofErr w:type="spellEnd"/>
            <w:r>
              <w:t xml:space="preserve"> </w:t>
            </w:r>
            <w:proofErr w:type="spellStart"/>
            <w:r>
              <w:t>modifications</w:t>
            </w:r>
            <w:proofErr w:type="spellEnd"/>
            <w:r>
              <w:t xml:space="preserve">. </w:t>
            </w:r>
            <w:proofErr w:type="spellStart"/>
            <w:r>
              <w:t>Combinational</w:t>
            </w:r>
            <w:proofErr w:type="spellEnd"/>
            <w:r>
              <w:t xml:space="preserve"> and </w:t>
            </w:r>
            <w:proofErr w:type="spellStart"/>
            <w:r>
              <w:t>positional</w:t>
            </w:r>
            <w:proofErr w:type="spellEnd"/>
            <w:r>
              <w:t xml:space="preserve"> </w:t>
            </w:r>
            <w:proofErr w:type="spellStart"/>
            <w:r>
              <w:t>modifications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vowels</w:t>
            </w:r>
            <w:proofErr w:type="spellEnd"/>
            <w:r>
              <w:t xml:space="preserve">. </w:t>
            </w:r>
            <w:proofErr w:type="spellStart"/>
            <w:r>
              <w:t>Harmonic</w:t>
            </w:r>
            <w:proofErr w:type="spellEnd"/>
            <w:r>
              <w:t xml:space="preserve"> </w:t>
            </w:r>
            <w:proofErr w:type="spellStart"/>
            <w:r>
              <w:t>assimilation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vowels</w:t>
            </w:r>
            <w:proofErr w:type="spellEnd"/>
            <w:r>
              <w:t xml:space="preserve">. </w:t>
            </w:r>
            <w:proofErr w:type="spellStart"/>
            <w:r>
              <w:t>Consonant</w:t>
            </w:r>
            <w:proofErr w:type="spellEnd"/>
            <w:r>
              <w:t xml:space="preserve"> </w:t>
            </w:r>
            <w:proofErr w:type="spellStart"/>
            <w:r>
              <w:t>modifications</w:t>
            </w:r>
            <w:proofErr w:type="spellEnd"/>
            <w:r>
              <w:t xml:space="preserve">. </w:t>
            </w:r>
            <w:proofErr w:type="spellStart"/>
            <w:r>
              <w:t>Alternations</w:t>
            </w:r>
            <w:proofErr w:type="spellEnd"/>
            <w:r>
              <w:t xml:space="preserve"> and </w:t>
            </w:r>
            <w:proofErr w:type="spellStart"/>
            <w:r>
              <w:t>neutralizations</w:t>
            </w:r>
            <w:proofErr w:type="spellEnd"/>
            <w:r>
              <w:t xml:space="preserve">. </w:t>
            </w:r>
            <w:proofErr w:type="spellStart"/>
            <w:r>
              <w:t>Ancient</w:t>
            </w:r>
            <w:proofErr w:type="spellEnd"/>
            <w:r>
              <w:t xml:space="preserve"> </w:t>
            </w:r>
            <w:proofErr w:type="spellStart"/>
            <w:r>
              <w:t>vowel</w:t>
            </w:r>
            <w:proofErr w:type="spellEnd"/>
            <w:r>
              <w:t xml:space="preserve"> and </w:t>
            </w:r>
            <w:proofErr w:type="spellStart"/>
            <w:r>
              <w:t>consonant</w:t>
            </w:r>
            <w:proofErr w:type="spellEnd"/>
            <w:r>
              <w:t xml:space="preserve"> </w:t>
            </w:r>
            <w:proofErr w:type="spellStart"/>
            <w:r>
              <w:t>alternations</w:t>
            </w:r>
            <w:proofErr w:type="spellEnd"/>
            <w:r>
              <w:t xml:space="preserve">. </w:t>
            </w:r>
            <w:proofErr w:type="spellStart"/>
            <w:r>
              <w:t>Accent</w:t>
            </w:r>
            <w:proofErr w:type="spellEnd"/>
            <w:r>
              <w:t xml:space="preserve"> in </w:t>
            </w:r>
            <w:proofErr w:type="spellStart"/>
            <w:r>
              <w:t>Ukrainian</w:t>
            </w:r>
            <w:proofErr w:type="spellEnd"/>
            <w:r>
              <w:t xml:space="preserve">. </w:t>
            </w:r>
            <w:proofErr w:type="spellStart"/>
            <w:r>
              <w:t>Basic</w:t>
            </w:r>
            <w:proofErr w:type="spellEnd"/>
            <w:r>
              <w:t xml:space="preserve"> and </w:t>
            </w:r>
            <w:proofErr w:type="spellStart"/>
            <w:r>
              <w:t>marginal</w:t>
            </w:r>
            <w:proofErr w:type="spellEnd"/>
            <w:r>
              <w:t xml:space="preserve"> </w:t>
            </w:r>
            <w:proofErr w:type="spellStart"/>
            <w:r>
              <w:t>accen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. </w:t>
            </w:r>
            <w:proofErr w:type="spellStart"/>
            <w:r>
              <w:t>Rhythm</w:t>
            </w:r>
            <w:proofErr w:type="spellEnd"/>
            <w:r>
              <w:t xml:space="preserve">. </w:t>
            </w:r>
            <w:proofErr w:type="spellStart"/>
            <w:r>
              <w:t>Intonation</w:t>
            </w:r>
            <w:proofErr w:type="spellEnd"/>
            <w:r>
              <w:t xml:space="preserve">. </w:t>
            </w:r>
            <w:proofErr w:type="spellStart"/>
            <w:r>
              <w:t>Pause</w:t>
            </w:r>
            <w:proofErr w:type="spellEnd"/>
            <w:r>
              <w:t xml:space="preserve">. </w:t>
            </w:r>
            <w:proofErr w:type="spellStart"/>
            <w:r>
              <w:t>Stress</w:t>
            </w:r>
            <w:proofErr w:type="spellEnd"/>
            <w:r>
              <w:t xml:space="preserve">. </w:t>
            </w:r>
            <w:proofErr w:type="spellStart"/>
            <w:r>
              <w:t>Melody</w:t>
            </w:r>
            <w:proofErr w:type="spellEnd"/>
            <w:r>
              <w:t>.</w:t>
            </w:r>
          </w:p>
        </w:tc>
      </w:tr>
      <w:tr w:rsidR="00F374F4" w14:paraId="249563EC" w14:textId="77777777" w:rsidTr="175F664F">
        <w:tc>
          <w:tcPr>
            <w:tcW w:w="9322" w:type="dxa"/>
            <w:gridSpan w:val="2"/>
          </w:tcPr>
          <w:p w14:paraId="6F163926" w14:textId="77777777" w:rsidR="00F374F4" w:rsidRDefault="009B58BB">
            <w:pPr>
              <w:jc w:val="both"/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3B3DE00" w14:textId="77777777" w:rsidR="00F374F4" w:rsidRDefault="009B58BB">
            <w:pPr>
              <w:jc w:val="both"/>
            </w:pPr>
            <w:proofErr w:type="spellStart"/>
            <w:r>
              <w:rPr>
                <w:i/>
              </w:rPr>
              <w:lastRenderedPageBreak/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ukrajins´ka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>.</w:t>
            </w:r>
            <w:r>
              <w:t xml:space="preserve"> Vstup. </w:t>
            </w:r>
            <w:proofErr w:type="spellStart"/>
            <w:r>
              <w:t>Fonetyka</w:t>
            </w:r>
            <w:proofErr w:type="spellEnd"/>
            <w:r>
              <w:t xml:space="preserve"> ta </w:t>
            </w:r>
            <w:proofErr w:type="spellStart"/>
            <w:r>
              <w:t>fonolohija</w:t>
            </w:r>
            <w:proofErr w:type="spellEnd"/>
            <w:r>
              <w:t xml:space="preserve">. </w:t>
            </w:r>
            <w:proofErr w:type="spellStart"/>
            <w:r>
              <w:t>Red</w:t>
            </w:r>
            <w:proofErr w:type="spellEnd"/>
            <w:r>
              <w:t xml:space="preserve">. A. P. </w:t>
            </w:r>
            <w:proofErr w:type="spellStart"/>
            <w:r>
              <w:t>Hryščenko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 1997. </w:t>
            </w:r>
          </w:p>
          <w:p w14:paraId="51E31469" w14:textId="77777777" w:rsidR="00F374F4" w:rsidRDefault="009B58BB">
            <w:pPr>
              <w:jc w:val="both"/>
              <w:rPr>
                <w:sz w:val="20"/>
              </w:rPr>
            </w:pPr>
            <w:r>
              <w:rPr>
                <w:i/>
              </w:rPr>
              <w:t xml:space="preserve">Zbirnyk vprav. </w:t>
            </w:r>
            <w:proofErr w:type="spellStart"/>
            <w:r>
              <w:rPr>
                <w:i/>
              </w:rPr>
              <w:t>Fonetyka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Orfoepija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Hrafika</w:t>
            </w:r>
            <w:proofErr w:type="spellEnd"/>
            <w:r>
              <w:rPr>
                <w:i/>
              </w:rPr>
              <w:t xml:space="preserve"> ta </w:t>
            </w:r>
            <w:proofErr w:type="spellStart"/>
            <w:r>
              <w:rPr>
                <w:i/>
              </w:rPr>
              <w:t>orfohrafija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>
              <w:t>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 1995.</w:t>
            </w:r>
          </w:p>
          <w:p w14:paraId="49BAE3D3" w14:textId="77777777" w:rsidR="00F374F4" w:rsidRDefault="009B58BB">
            <w:pPr>
              <w:jc w:val="both"/>
            </w:pPr>
            <w:r>
              <w:t xml:space="preserve">PĽUŠČ, M. Ja; LEUTA, O. I.; HAĽONA, N., 1995.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ukrajins´ka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 xml:space="preserve">. </w:t>
            </w:r>
          </w:p>
          <w:p w14:paraId="15FF3D47" w14:textId="77777777" w:rsidR="00F374F4" w:rsidRDefault="009B58BB">
            <w:pPr>
              <w:jc w:val="both"/>
            </w:pPr>
            <w:r>
              <w:t xml:space="preserve">KUNDRÁTOVÁ. A. – HANUDEĽOVÁ, Z., 1986. </w:t>
            </w:r>
            <w:r>
              <w:rPr>
                <w:i/>
              </w:rPr>
              <w:t>Lektorské cvičenia z ukrajinského jazyka pre 1. ročník</w:t>
            </w:r>
            <w:r>
              <w:t>. Košice: Rektorát FF UPJŠ.</w:t>
            </w:r>
          </w:p>
        </w:tc>
      </w:tr>
      <w:tr w:rsidR="00F374F4" w14:paraId="16EAF0F4" w14:textId="77777777" w:rsidTr="175F664F">
        <w:tc>
          <w:tcPr>
            <w:tcW w:w="9322" w:type="dxa"/>
            <w:gridSpan w:val="2"/>
          </w:tcPr>
          <w:p w14:paraId="4765EC3E" w14:textId="77777777" w:rsidR="00F374F4" w:rsidRDefault="009B58BB">
            <w:proofErr w:type="spellStart"/>
            <w:r>
              <w:rPr>
                <w:b/>
              </w:rPr>
              <w:lastRenderedPageBreak/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</w:t>
            </w:r>
            <w:r>
              <w:rPr>
                <w:b/>
              </w:rPr>
              <w:t>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8806E5B" w14:textId="77777777" w:rsidR="00F374F4" w:rsidRDefault="009B58BB"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F374F4" w14:paraId="02B8A6B2" w14:textId="77777777" w:rsidTr="175F664F">
        <w:tc>
          <w:tcPr>
            <w:tcW w:w="9322" w:type="dxa"/>
            <w:gridSpan w:val="2"/>
          </w:tcPr>
          <w:p w14:paraId="38D90934" w14:textId="77777777" w:rsidR="00F374F4" w:rsidRDefault="009B58BB">
            <w:r>
              <w:rPr>
                <w:b/>
              </w:rPr>
              <w:t>Notes:</w:t>
            </w:r>
            <w:r>
              <w:t xml:space="preserve"> ---</w:t>
            </w:r>
          </w:p>
        </w:tc>
      </w:tr>
      <w:tr w:rsidR="00F374F4" w14:paraId="0DC3BFD7" w14:textId="77777777" w:rsidTr="175F664F">
        <w:tc>
          <w:tcPr>
            <w:tcW w:w="9322" w:type="dxa"/>
            <w:gridSpan w:val="2"/>
          </w:tcPr>
          <w:p w14:paraId="12CEC339" w14:textId="77777777" w:rsidR="00F374F4" w:rsidRDefault="009B58BB">
            <w:pPr>
              <w:pStyle w:val="P68B1DB1-Normlny1"/>
            </w:pP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</w:p>
          <w:p w14:paraId="3F91731C" w14:textId="77777777" w:rsidR="00F374F4" w:rsidRDefault="009B58BB"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141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F374F4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F374F4" w:rsidRDefault="009B58BB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F374F4" w:rsidRDefault="009B58BB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F374F4" w:rsidRDefault="009B58BB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F374F4" w:rsidRDefault="009B58BB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F374F4" w:rsidRDefault="009B58BB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F374F4" w:rsidRDefault="009B58BB">
                  <w:pPr>
                    <w:jc w:val="center"/>
                  </w:pPr>
                  <w:r>
                    <w:t>FX</w:t>
                  </w:r>
                </w:p>
              </w:tc>
            </w:tr>
            <w:tr w:rsidR="00F374F4" w14:paraId="16416ADA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B85BA" w14:textId="77777777" w:rsidR="00F374F4" w:rsidRDefault="009B58BB">
                  <w:pPr>
                    <w:jc w:val="center"/>
                  </w:pPr>
                  <w: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B2A6E" w14:textId="77777777" w:rsidR="00F374F4" w:rsidRDefault="009B58BB">
                  <w:pPr>
                    <w:jc w:val="center"/>
                  </w:pPr>
                  <w:r>
                    <w:t>18%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FE7DB" w14:textId="77777777" w:rsidR="00F374F4" w:rsidRDefault="009B58BB">
                  <w:pPr>
                    <w:jc w:val="center"/>
                  </w:pPr>
                  <w:r>
                    <w:t>19%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C733" w14:textId="77777777" w:rsidR="00F374F4" w:rsidRDefault="009B58BB">
                  <w:pPr>
                    <w:jc w:val="center"/>
                  </w:pPr>
                  <w: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39B76" w14:textId="77777777" w:rsidR="00F374F4" w:rsidRDefault="009B58BB">
                  <w:pPr>
                    <w:jc w:val="center"/>
                  </w:pPr>
                  <w:r>
                    <w:t>18%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71F98" w14:textId="77777777" w:rsidR="00F374F4" w:rsidRDefault="009B58BB">
                  <w:pPr>
                    <w:jc w:val="center"/>
                  </w:pPr>
                  <w:r>
                    <w:t>23%</w:t>
                  </w:r>
                </w:p>
              </w:tc>
            </w:tr>
          </w:tbl>
          <w:p w14:paraId="0A37501D" w14:textId="77777777" w:rsidR="00F374F4" w:rsidRDefault="00F374F4"/>
        </w:tc>
      </w:tr>
      <w:tr w:rsidR="00F374F4" w14:paraId="64B7CC6B" w14:textId="77777777" w:rsidTr="175F664F">
        <w:tc>
          <w:tcPr>
            <w:tcW w:w="9322" w:type="dxa"/>
            <w:gridSpan w:val="2"/>
          </w:tcPr>
          <w:p w14:paraId="1468757A" w14:textId="4E829EEC" w:rsidR="00F374F4" w:rsidRDefault="175F664F">
            <w:pPr>
              <w:tabs>
                <w:tab w:val="left" w:pos="1530"/>
              </w:tabs>
            </w:pPr>
            <w:proofErr w:type="spellStart"/>
            <w:r w:rsidRPr="175F664F">
              <w:rPr>
                <w:b/>
                <w:bCs/>
              </w:rPr>
              <w:t>Lecturers</w:t>
            </w:r>
            <w:proofErr w:type="spellEnd"/>
            <w:r w:rsidRPr="175F664F">
              <w:rPr>
                <w:b/>
                <w:bCs/>
              </w:rPr>
              <w:t>:</w:t>
            </w:r>
            <w:r>
              <w:t xml:space="preserve"> Doc. Mgr. Jarmila Kredátusová, </w:t>
            </w:r>
            <w:proofErr w:type="spellStart"/>
            <w:r>
              <w:t>Ph.D</w:t>
            </w:r>
            <w:proofErr w:type="spellEnd"/>
            <w:r>
              <w:t xml:space="preserve">. </w:t>
            </w:r>
            <w:proofErr w:type="spellStart"/>
            <w:r>
              <w:t>lecturer</w:t>
            </w:r>
            <w:proofErr w:type="spellEnd"/>
          </w:p>
        </w:tc>
      </w:tr>
      <w:tr w:rsidR="00F374F4" w14:paraId="7F4C8867" w14:textId="77777777" w:rsidTr="175F664F">
        <w:tc>
          <w:tcPr>
            <w:tcW w:w="9322" w:type="dxa"/>
            <w:gridSpan w:val="2"/>
          </w:tcPr>
          <w:p w14:paraId="38419F5D" w14:textId="77777777" w:rsidR="00F374F4" w:rsidRDefault="009B58BB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21.1.2022</w:t>
            </w:r>
          </w:p>
        </w:tc>
      </w:tr>
      <w:tr w:rsidR="00F374F4" w14:paraId="4CA0C55B" w14:textId="77777777" w:rsidTr="175F664F">
        <w:tc>
          <w:tcPr>
            <w:tcW w:w="9322" w:type="dxa"/>
            <w:gridSpan w:val="2"/>
          </w:tcPr>
          <w:p w14:paraId="4B5FB010" w14:textId="77777777" w:rsidR="00F374F4" w:rsidRDefault="009B58BB">
            <w:pPr>
              <w:tabs>
                <w:tab w:val="left" w:pos="1530"/>
              </w:tabs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Prof. PhDr. Mária Čižmárová, CSc.</w:t>
            </w:r>
          </w:p>
        </w:tc>
      </w:tr>
    </w:tbl>
    <w:p w14:paraId="5DAB6C7B" w14:textId="77777777" w:rsidR="00F374F4" w:rsidRDefault="00F374F4">
      <w:pPr>
        <w:ind w:left="720"/>
        <w:jc w:val="both"/>
      </w:pPr>
    </w:p>
    <w:p w14:paraId="02EB378F" w14:textId="77777777" w:rsidR="00F374F4" w:rsidRDefault="00F374F4"/>
    <w:p w14:paraId="6A05A809" w14:textId="77777777" w:rsidR="00F374F4" w:rsidRDefault="00F374F4"/>
    <w:sectPr w:rsidR="00F3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6D"/>
    <w:rsid w:val="00117E58"/>
    <w:rsid w:val="00374F79"/>
    <w:rsid w:val="00492C4B"/>
    <w:rsid w:val="004B3BDD"/>
    <w:rsid w:val="007D3CFB"/>
    <w:rsid w:val="009B58BB"/>
    <w:rsid w:val="00A2620C"/>
    <w:rsid w:val="00C85132"/>
    <w:rsid w:val="00D47898"/>
    <w:rsid w:val="00E6156D"/>
    <w:rsid w:val="00F374F4"/>
    <w:rsid w:val="00FC5F96"/>
    <w:rsid w:val="175F664F"/>
    <w:rsid w:val="1CE2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5F9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C5F96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FC5F96"/>
    <w:pPr>
      <w:widowControl w:val="0"/>
      <w:suppressAutoHyphens/>
      <w:spacing w:after="120"/>
    </w:pPr>
    <w:rPr>
      <w:rFonts w:eastAsia="SimSun" w:cs="Mangal"/>
      <w:kern w:val="1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5F96"/>
    <w:rPr>
      <w:rFonts w:ascii="Times New Roman" w:eastAsia="SimSun" w:hAnsi="Times New Roman" w:cs="Mangal"/>
      <w:kern w:val="1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Zkladntext3">
    <w:name w:val="P68B1DB1-Zkladntext3"/>
    <w:basedOn w:val="Zkladntext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5F9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C5F96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FC5F96"/>
    <w:pPr>
      <w:widowControl w:val="0"/>
      <w:suppressAutoHyphens/>
      <w:spacing w:after="120"/>
    </w:pPr>
    <w:rPr>
      <w:rFonts w:eastAsia="SimSun" w:cs="Mangal"/>
      <w:kern w:val="1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5F96"/>
    <w:rPr>
      <w:rFonts w:ascii="Times New Roman" w:eastAsia="SimSun" w:hAnsi="Times New Roman" w:cs="Mangal"/>
      <w:kern w:val="1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Zkladntext3">
    <w:name w:val="P68B1DB1-Zkladntext3"/>
    <w:basedOn w:val="Zkladntext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E6B25-97C9-40A8-A27B-50ADBA8D0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07969-0349-443C-B39E-DDFF4571D6BE}"/>
</file>

<file path=customXml/itemProps3.xml><?xml version="1.0" encoding="utf-8"?>
<ds:datastoreItem xmlns:ds="http://schemas.openxmlformats.org/officeDocument/2006/customXml" ds:itemID="{5FC3E843-A33B-4483-8F90-800FA9590A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3280</Characters>
  <Application>Microsoft Office Word</Application>
  <DocSecurity>0</DocSecurity>
  <Lines>27</Lines>
  <Paragraphs>7</Paragraphs>
  <ScaleCrop>false</ScaleCrop>
  <Company>HP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2022-02-10T08:22:00Z</cp:lastPrinted>
  <dcterms:created xsi:type="dcterms:W3CDTF">2022-01-22T20:48:00Z</dcterms:created>
  <dcterms:modified xsi:type="dcterms:W3CDTF">2022-03-01T08:48:00Z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