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BCC82B" w14:textId="096D46D5"/>
    <w:p w14:paraId="404300B7" w14:textId="548C858F">
      <w:pPr>
        <w:jc w:val="center"/>
        <w:rPr>
          <w:rFonts w:ascii="Times New Roman" w:hAnsi="Times New Roman" w:cs="Times New Roman"/>
          <w:sz w:val="24"/>
        </w:rPr>
        <w:pStyle w:val="P68B1DB1-Normlny1"/>
      </w:pPr>
      <w:r>
        <w:t xml:space="preserve">COURSE DESCRIPTION</w:t>
      </w:r>
    </w:p>
    <w:tbl>
      <w:tblPr>
        <w:tblStyle w:val="Mriekatabuky"/>
        <w:tblW w:w="9322" w:type="dxa"/>
        <w:tblLook w:val="04A0" w:firstRow="1" w:lastRow="0" w:firstColumn="1" w:lastColumn="0" w:noHBand="0" w:noVBand="1"/>
      </w:tblPr>
      <w:tblGrid>
        <w:gridCol w:w="4110"/>
        <w:gridCol w:w="5212"/>
      </w:tblGrid>
      <w:tr w:rsidTr="53715E98" w14:paraId="3E4CC2D5" w14:textId="77777777">
        <w:tc>
          <w:tcPr>
            <w:tcW w:w="9322" w:type="dxa"/>
            <w:gridSpan w:val="2"/>
            <w:tcMar/>
          </w:tcPr>
          <w:p w14:paraId="18BA4DF1" w14:textId="77777777">
            <w:pPr>
              <w:rPr>
                <w:i/>
                <w:sz w:val="24"/>
              </w:rPr>
              <w:pStyle w:val="P68B1DB1-Normlny2"/>
            </w:pPr>
            <w:r>
              <w:rPr>
                <w:b/>
              </w:rPr>
              <w:t>University:</w:t>
            </w:r>
            <w:r>
              <w:t xml:space="preserve"> </w:t>
            </w:r>
            <w:r>
              <w:rPr>
                <w:i/>
              </w:rPr>
              <w:t xml:space="preserve">University of Presov </w:t>
            </w:r>
          </w:p>
        </w:tc>
      </w:tr>
      <w:tr w:rsidTr="53715E98" w14:paraId="7517A1DD" w14:textId="77777777">
        <w:tc>
          <w:tcPr>
            <w:tcW w:w="9322" w:type="dxa"/>
            <w:gridSpan w:val="2"/>
            <w:tcMar/>
          </w:tcPr>
          <w:p w14:paraId="21DB4CA2" w14:textId="77777777">
            <w:pPr>
              <w:rPr>
                <w:i/>
                <w:sz w:val="24"/>
              </w:rPr>
              <w:pStyle w:val="P68B1DB1-Normlny2"/>
            </w:pPr>
            <w:r>
              <w:rPr>
                <w:b/>
              </w:rPr>
              <w:t>Faculty:</w:t>
            </w:r>
            <w:r>
              <w:t xml:space="preserve"> Faculty of Arts</w:t>
            </w:r>
          </w:p>
        </w:tc>
      </w:tr>
      <w:tr w:rsidTr="53715E98" w14:paraId="60390A77" w14:textId="77777777">
        <w:tc>
          <w:tcPr>
            <w:tcW w:w="4110" w:type="dxa"/>
            <w:tcMar/>
          </w:tcPr>
          <w:p w14:paraId="26A99246" w14:textId="64280442">
            <w:pPr>
              <w:rPr>
                <w:i/>
                <w:sz w:val="24"/>
              </w:rPr>
              <w:pStyle w:val="P68B1DB1-Normlny2"/>
            </w:pPr>
            <w:r>
              <w:rPr>
                <w:b/>
              </w:rPr>
              <w:t>Code:</w:t>
            </w:r>
            <w:r>
              <w:t xml:space="preserve"> 1IUKR/UUSUL/22</w:t>
            </w:r>
          </w:p>
        </w:tc>
        <w:tc>
          <w:tcPr>
            <w:tcW w:w="5212" w:type="dxa"/>
            <w:tcMar/>
          </w:tcPr>
          <w:p w14:paraId="525D4BFD" w14:textId="1F86FFCF">
            <w:pPr>
              <w:rPr>
                <w:b/>
                <w:sz w:val="24"/>
              </w:rPr>
              <w:pStyle w:val="P68B1DB1-Normlny2"/>
            </w:pPr>
            <w:r>
              <w:rPr>
                <w:b/>
              </w:rPr>
              <w:t xml:space="preserve">Course title: </w:t>
            </w:r>
            <w:r>
              <w:rPr>
                <w:i/>
              </w:rPr>
              <w:t xml:space="preserve">Introduction to the Study of Ukrainian Literature</w:t>
            </w:r>
            <w:r>
              <w:t xml:space="preserve"> (P)</w:t>
            </w:r>
          </w:p>
        </w:tc>
      </w:tr>
      <w:tr w:rsidTr="53715E98" w14:paraId="01B17475" w14:textId="77777777">
        <w:trPr>
          <w:trHeight w:val="801"/>
        </w:trPr>
        <w:tc>
          <w:tcPr>
            <w:tcW w:w="9322" w:type="dxa"/>
            <w:gridSpan w:val="2"/>
            <w:tcMar/>
          </w:tcPr>
          <w:p w14:paraId="0753641B" w14:textId="77777777">
            <w:pPr>
              <w:rPr>
                <w:sz w:val="24"/>
              </w:rPr>
              <w:pStyle w:val="P68B1DB1-Normlny2"/>
            </w:pPr>
            <w:r>
              <w:rPr>
                <w:b/>
              </w:rPr>
              <w:t xml:space="preserve">Type, scope and method of educational activity:</w:t>
            </w:r>
            <w:r>
              <w:t xml:space="preserve"> </w:t>
            </w:r>
          </w:p>
          <w:p w14:paraId="59648E3C" w14:textId="4112626B">
            <w:pPr>
              <w:rPr>
                <w:sz w:val="24"/>
              </w:rPr>
              <w:pStyle w:val="P68B1DB1-Normlny2"/>
            </w:pPr>
            <w:r>
              <w:t xml:space="preserve">1 hour lecture / 1 hour seminar</w:t>
            </w:r>
          </w:p>
        </w:tc>
      </w:tr>
      <w:tr w:rsidTr="53715E98" w14:paraId="56B99CE8" w14:textId="77777777">
        <w:trPr>
          <w:trHeight w:val="286"/>
        </w:trPr>
        <w:tc>
          <w:tcPr>
            <w:tcW w:w="9322" w:type="dxa"/>
            <w:gridSpan w:val="2"/>
            <w:tcMar/>
          </w:tcPr>
          <w:p w14:paraId="0FCD6C1F" w14:textId="77777777">
            <w:pPr>
              <w:rPr>
                <w:sz w:val="24"/>
              </w:rPr>
              <w:pStyle w:val="P68B1DB1-Normlny2"/>
            </w:pPr>
            <w:r>
              <w:rPr>
                <w:b/>
              </w:rPr>
              <w:t xml:space="preserve">Number of credits:</w:t>
            </w:r>
            <w:r>
              <w:rPr>
                <w:i/>
              </w:rPr>
              <w:t xml:space="preserve"> </w:t>
            </w:r>
            <w:r>
              <w:t>3</w:t>
            </w:r>
          </w:p>
        </w:tc>
      </w:tr>
      <w:tr w:rsidTr="53715E98" w14:paraId="11CA6CA7" w14:textId="77777777">
        <w:tc>
          <w:tcPr>
            <w:tcW w:w="9322" w:type="dxa"/>
            <w:gridSpan w:val="2"/>
            <w:tcMar/>
          </w:tcPr>
          <w:p w14:paraId="29C5513D" w14:textId="77777777">
            <w:pPr>
              <w:rPr>
                <w:i/>
                <w:sz w:val="24"/>
              </w:rPr>
              <w:pStyle w:val="P68B1DB1-Normlny2"/>
            </w:pPr>
            <w:r>
              <w:rPr>
                <w:b/>
              </w:rPr>
              <w:t xml:space="preserve">Recommended semester / trimester of study:</w:t>
            </w:r>
            <w:r>
              <w:t xml:space="preserve"> 1st semester of study</w:t>
            </w:r>
          </w:p>
        </w:tc>
      </w:tr>
      <w:tr w:rsidTr="53715E98" w14:paraId="0DCEA979" w14:textId="77777777">
        <w:tc>
          <w:tcPr>
            <w:tcW w:w="9322" w:type="dxa"/>
            <w:gridSpan w:val="2"/>
            <w:tcMar/>
          </w:tcPr>
          <w:p w14:paraId="1DB6EDD4" w14:textId="1AAA0AD5">
            <w:pPr>
              <w:rPr>
                <w:sz w:val="24"/>
              </w:rPr>
              <w:pStyle w:val="P68B1DB1-Normlny2"/>
            </w:pPr>
            <w:r>
              <w:rPr>
                <w:b/>
              </w:rPr>
              <w:t xml:space="preserve">Study grade: </w:t>
            </w:r>
            <w:r>
              <w:t xml:space="preserve">1. </w:t>
            </w:r>
          </w:p>
        </w:tc>
      </w:tr>
      <w:tr w:rsidTr="53715E98" w14:paraId="09752BD2" w14:textId="77777777">
        <w:tc>
          <w:tcPr>
            <w:tcW w:w="9322" w:type="dxa"/>
            <w:gridSpan w:val="2"/>
            <w:tcMar/>
          </w:tcPr>
          <w:p w14:paraId="4C483710" w14:textId="7052C608">
            <w:pPr>
              <w:rPr>
                <w:i/>
                <w:sz w:val="24"/>
              </w:rPr>
              <w:pStyle w:val="P68B1DB1-Normlny3"/>
            </w:pPr>
            <w:r>
              <w:t xml:space="preserve">Prerequisites: </w:t>
            </w:r>
          </w:p>
        </w:tc>
      </w:tr>
      <w:tr w:rsidTr="53715E98" w14:paraId="0A4FFEA6" w14:textId="77777777">
        <w:tc>
          <w:tcPr>
            <w:tcW w:w="9322" w:type="dxa"/>
            <w:gridSpan w:val="2"/>
            <w:tcMar/>
          </w:tcPr>
          <w:p w:rsidP="53715E98" w14:paraId="6F1EC3F2" w14:textId="4277CB82">
            <w:pPr>
              <w:autoSpaceDE w:val="0"/>
              <w:autoSpaceDN w:val="0"/>
              <w:adjustRightInd w:val="0"/>
              <w:jc w:val="both"/>
              <w:rPr>
                <w:sz w:val="24"/>
                <w:szCs w:val="24"/>
              </w:rPr>
              <w:pStyle w:val="P68B1DB1-Normlny2"/>
            </w:pPr>
            <w:r w:rsidRPr="53715E98" w:rsidR="53715E98">
              <w:rPr>
                <w:b w:val="1"/>
                <w:bCs w:val="1"/>
              </w:rPr>
              <w:t>Conditions for passing the course:</w:t>
            </w:r>
            <w:r w:rsidR="53715E98">
              <w:rPr/>
              <w:t xml:space="preserve"> The evaluation is awarded for regular active participation and presentation at seminars, passing the continuous assessment and the final examination. Continuous evaluation:</w:t>
            </w:r>
          </w:p>
        </w:tc>
      </w:tr>
      <w:tr w:rsidTr="53715E98" w14:paraId="20AF9249" w14:textId="77777777">
        <w:tc>
          <w:tcPr>
            <w:tcW w:w="9322" w:type="dxa"/>
            <w:gridSpan w:val="2"/>
            <w:tcMar/>
          </w:tcPr>
          <w:p w14:paraId="39E8D0CA" w14:textId="77777777">
            <w:pPr>
              <w:autoSpaceDE w:val="0"/>
              <w:autoSpaceDN w:val="0"/>
              <w:adjustRightInd w:val="0"/>
              <w:jc w:val="both"/>
              <w:rPr>
                <w:i/>
                <w:sz w:val="24"/>
              </w:rPr>
              <w:pStyle w:val="P68B1DB1-Normlny2"/>
            </w:pPr>
            <w:r>
              <w:rPr>
                <w:b/>
              </w:rPr>
              <w:t xml:space="preserve">Learning outcomes:</w:t>
            </w:r>
            <w:r>
              <w:rPr>
                <w:i/>
              </w:rPr>
              <w:t xml:space="preserve"> </w:t>
            </w:r>
          </w:p>
          <w:p w14:paraId="339EAED9" w14:textId="77777777">
            <w:pPr>
              <w:autoSpaceDE w:val="0"/>
              <w:autoSpaceDN w:val="0"/>
              <w:adjustRightInd w:val="0"/>
              <w:jc w:val="both"/>
              <w:rPr>
                <w:i/>
                <w:sz w:val="24"/>
              </w:rPr>
            </w:pPr>
          </w:p>
          <w:p w:rsidP="53715E98" w14:paraId="69A69006" w14:textId="77777777" w14:noSpellErr="1">
            <w:pPr>
              <w:autoSpaceDE w:val="0"/>
              <w:autoSpaceDN w:val="0"/>
              <w:adjustRightInd w:val="0"/>
              <w:jc w:val="both"/>
              <w:rPr>
                <w:b w:val="1"/>
                <w:bCs w:val="1"/>
                <w:sz w:val="24"/>
                <w:szCs w:val="24"/>
              </w:rPr>
              <w:pStyle w:val="P68B1DB1-Normlny3"/>
            </w:pPr>
            <w:r w:rsidRPr="53715E98" w:rsidR="53715E98">
              <w:rPr>
                <w:b w:val="1"/>
                <w:bCs w:val="1"/>
              </w:rPr>
              <w:t>Knowledge</w:t>
            </w:r>
          </w:p>
          <w:p w14:paraId="35F0242D" w14:textId="77777777">
            <w:pPr>
              <w:autoSpaceDE w:val="0"/>
              <w:autoSpaceDN w:val="0"/>
              <w:adjustRightInd w:val="0"/>
              <w:jc w:val="both"/>
              <w:rPr>
                <w:sz w:val="24"/>
              </w:rPr>
              <w:pStyle w:val="P68B1DB1-Normlny2"/>
            </w:pPr>
            <w:r>
              <w:t xml:space="preserve">The graduate of the course will gain knowledge of literature as a scientific unit. He or she will expand his/her vocabulary in the field of literary terminology, memorise the necessary facts. </w:t>
            </w:r>
          </w:p>
          <w:p w:rsidP="53715E98" w14:paraId="58A89EB3" w14:textId="77777777" w14:noSpellErr="1">
            <w:pPr>
              <w:autoSpaceDE w:val="0"/>
              <w:autoSpaceDN w:val="0"/>
              <w:adjustRightInd w:val="0"/>
              <w:jc w:val="both"/>
              <w:rPr>
                <w:b w:val="1"/>
                <w:bCs w:val="1"/>
                <w:sz w:val="24"/>
                <w:szCs w:val="24"/>
              </w:rPr>
              <w:pStyle w:val="P68B1DB1-Normlny3"/>
            </w:pPr>
            <w:r w:rsidRPr="53715E98" w:rsidR="53715E98">
              <w:rPr>
                <w:b w:val="1"/>
                <w:bCs w:val="1"/>
              </w:rPr>
              <w:t>Skills</w:t>
            </w:r>
          </w:p>
          <w:p w14:paraId="57DD1663" w14:textId="49AAE16A">
            <w:pPr>
              <w:autoSpaceDE w:val="0"/>
              <w:autoSpaceDN w:val="0"/>
              <w:adjustRightInd w:val="0"/>
              <w:jc w:val="both"/>
              <w:rPr>
                <w:sz w:val="24"/>
              </w:rPr>
              <w:pStyle w:val="P68B1DB1-Normlny2"/>
            </w:pPr>
            <w:r>
              <w:t xml:space="preserve">The student will be able to work with professional literary and scientific literature (professional and socio-cultural periodicals), develop the habit of reading and using professional literature.</w:t>
            </w:r>
          </w:p>
          <w:p w:rsidP="53715E98" w14:paraId="57B0BA3E" w14:textId="77777777" w14:noSpellErr="1">
            <w:pPr>
              <w:autoSpaceDE w:val="0"/>
              <w:autoSpaceDN w:val="0"/>
              <w:adjustRightInd w:val="0"/>
              <w:jc w:val="both"/>
              <w:rPr>
                <w:b w:val="1"/>
                <w:bCs w:val="1"/>
                <w:sz w:val="24"/>
                <w:szCs w:val="24"/>
              </w:rPr>
              <w:pStyle w:val="P68B1DB1-Normlny3"/>
            </w:pPr>
            <w:r w:rsidRPr="53715E98" w:rsidR="53715E98">
              <w:rPr>
                <w:b w:val="1"/>
                <w:bCs w:val="1"/>
              </w:rPr>
              <w:t>Competencies</w:t>
            </w:r>
          </w:p>
          <w:p w14:paraId="31E5B40A" w14:textId="77777777">
            <w:pPr>
              <w:autoSpaceDE w:val="0"/>
              <w:autoSpaceDN w:val="0"/>
              <w:adjustRightInd w:val="0"/>
              <w:jc w:val="both"/>
              <w:rPr>
                <w:sz w:val="24"/>
              </w:rPr>
              <w:pStyle w:val="P68B1DB1-Normlny2"/>
            </w:pPr>
            <w:r>
              <w:t xml:space="preserve">He/she can search, process and analyze professional information from different sources in a foreign language and exchange information. Demonstrates critical thinking, i.e. can demonstrate their knowledge and explain the nature of the phenomena learnt and the relationships between them. Can present publicly the acquired knowledge and skills of the discipline using appropriate linguistic terminology. </w:t>
            </w:r>
          </w:p>
          <w:p w14:paraId="5438C377" w14:textId="77777777">
            <w:pPr>
              <w:autoSpaceDE w:val="0"/>
              <w:autoSpaceDN w:val="0"/>
              <w:adjustRightInd w:val="0"/>
              <w:jc w:val="both"/>
              <w:rPr>
                <w:i/>
                <w:sz w:val="24"/>
              </w:rPr>
            </w:pPr>
          </w:p>
        </w:tc>
      </w:tr>
      <w:tr w:rsidTr="53715E98" w14:paraId="2DE38730" w14:textId="77777777">
        <w:tc>
          <w:tcPr>
            <w:tcW w:w="9322" w:type="dxa"/>
            <w:gridSpan w:val="2"/>
            <w:tcMar/>
          </w:tcPr>
          <w:p w14:paraId="0A8BBD22" w14:textId="77777777">
            <w:pPr>
              <w:jc w:val="both"/>
              <w:rPr>
                <w:i/>
                <w:sz w:val="24"/>
              </w:rPr>
              <w:pStyle w:val="P68B1DB1-Normlny2"/>
            </w:pPr>
            <w:r>
              <w:rPr>
                <w:b/>
              </w:rPr>
              <w:t xml:space="preserve">Course content:</w:t>
            </w:r>
            <w:r>
              <w:t xml:space="preserve"> Literature as a part of art. Chapters from literary science. Issues of periodization of literary history. Basic literary units (author - work, period - method - style). Issues of literary direction and literary work. Interpretation of a literary work. Specifics of reception and interpretation of individual literary types and genres. History of philosophy of literature and history of Ukrainian literary science.</w:t>
            </w:r>
          </w:p>
        </w:tc>
      </w:tr>
      <w:tr w:rsidTr="53715E98" w14:paraId="4F460A38" w14:textId="77777777">
        <w:tc>
          <w:tcPr>
            <w:tcW w:w="9322" w:type="dxa"/>
            <w:gridSpan w:val="2"/>
            <w:tcMar/>
          </w:tcPr>
          <w:p w14:paraId="0CC5FB02" w14:textId="77777777">
            <w:pPr>
              <w:rPr>
                <w:i/>
                <w:sz w:val="24"/>
              </w:rPr>
              <w:pStyle w:val="P68B1DB1-Normlny2"/>
            </w:pPr>
            <w:r>
              <w:rPr>
                <w:b/>
              </w:rPr>
              <w:t xml:space="preserve">Recommended literature:</w:t>
            </w:r>
            <w:r>
              <w:rPr>
                <w:i/>
              </w:rPr>
              <w:t xml:space="preserve"> </w:t>
            </w:r>
          </w:p>
          <w:p w14:paraId="223B228B" w14:textId="77777777">
            <w:pPr>
              <w:rPr>
                <w:sz w:val="24"/>
              </w:rPr>
              <w:pStyle w:val="P68B1DB1-Normlny2"/>
            </w:pPr>
            <w:r>
              <w:rPr>
                <w:i/>
              </w:rPr>
              <w:t xml:space="preserve">Antolohija svitovoji literaturnokrytyčnoji dumky 20. st.</w:t>
            </w:r>
            <w:r>
              <w:t xml:space="preserve"> Red. M. Zubrycka. Ľviv, 1996.</w:t>
            </w:r>
          </w:p>
          <w:p w14:paraId="51A8E56B" w14:textId="77777777">
            <w:pPr>
              <w:rPr>
                <w:sz w:val="24"/>
              </w:rPr>
              <w:pStyle w:val="P68B1DB1-Normlny2"/>
            </w:pPr>
            <w:r>
              <w:rPr>
                <w:i/>
              </w:rPr>
              <w:t xml:space="preserve">Istorija literaturnoji krytyky ta literaturoznavstva. Chrestomatija.</w:t>
            </w:r>
            <w:r>
              <w:t xml:space="preserve"> Red. P. M. Fedčenko. Kyjiv.</w:t>
            </w:r>
          </w:p>
          <w:p w14:paraId="5776192E" w14:textId="77777777">
            <w:pPr>
              <w:rPr>
                <w:sz w:val="24"/>
              </w:rPr>
              <w:pStyle w:val="P68B1DB1-Normlny2"/>
            </w:pPr>
            <w:r>
              <w:t xml:space="preserve">BILOUS, P. 2011. </w:t>
            </w:r>
            <w:r>
              <w:rPr>
                <w:i/>
              </w:rPr>
              <w:t xml:space="preserve">Vstup do literaturoznavstva.</w:t>
            </w:r>
            <w:r>
              <w:t xml:space="preserve"> Kyjiv.</w:t>
            </w:r>
          </w:p>
          <w:p w14:paraId="68B0D559" w14:textId="77777777">
            <w:pPr>
              <w:rPr>
                <w:sz w:val="24"/>
              </w:rPr>
              <w:pStyle w:val="P68B1DB1-Normlny2"/>
            </w:pPr>
            <w:r>
              <w:rPr>
                <w:i/>
              </w:rPr>
              <w:t xml:space="preserve">Literaturoznavčyj slovnyk-dovidnyk.</w:t>
            </w:r>
            <w:r>
              <w:t xml:space="preserve"> Akademia. Kyjiv, 1997</w:t>
            </w:r>
            <w:r>
              <w:br/>
            </w:r>
            <w:r>
              <w:t xml:space="preserve">MINÁRIK, J. – GAŠPARÍK, M., 1983.</w:t>
            </w:r>
            <w:r>
              <w:rPr>
                <w:i/>
              </w:rPr>
              <w:t xml:space="preserve">Úvod do štúdia literatúry.</w:t>
            </w:r>
            <w:r>
              <w:t xml:space="preserve"> Bratislava.</w:t>
            </w:r>
          </w:p>
          <w:p w14:paraId="62F596CA" w14:textId="77777777">
            <w:pPr>
              <w:rPr>
                <w:sz w:val="24"/>
              </w:rPr>
              <w:pStyle w:val="P68B1DB1-Normlny2"/>
            </w:pPr>
            <w:r>
              <w:t xml:space="preserve">MOKLYCA, M. 2011. </w:t>
            </w:r>
            <w:r>
              <w:rPr>
                <w:i/>
              </w:rPr>
              <w:t xml:space="preserve">Vstup do literaturoznavstva.</w:t>
            </w:r>
            <w:r>
              <w:t xml:space="preserve"> Luck.</w:t>
            </w:r>
            <w:r>
              <w:br/>
            </w:r>
            <w:r>
              <w:t xml:space="preserve">POPOVIČ, A. A KOL., 1981. </w:t>
            </w:r>
            <w:r>
              <w:rPr>
                <w:i/>
              </w:rPr>
              <w:t xml:space="preserve">Interpretácia umeleckého textu.</w:t>
            </w:r>
            <w:r>
              <w:t xml:space="preserve"> Bratislava.</w:t>
            </w:r>
          </w:p>
          <w:p w14:paraId="02A6ACF6" w14:textId="77777777">
            <w:pPr>
              <w:rPr>
                <w:sz w:val="24"/>
              </w:rPr>
              <w:pStyle w:val="P68B1DB1-Normlny2"/>
            </w:pPr>
            <w:r>
              <w:rPr>
                <w:i/>
              </w:rPr>
              <w:t xml:space="preserve">Teoria literatury.</w:t>
            </w:r>
            <w:r>
              <w:t xml:space="preserve"> Red. O. Halyč, V. Nazarec, J. Vasyľev. Lybiď. Kyjiv, 2001.</w:t>
            </w:r>
            <w:r>
              <w:br/>
            </w:r>
          </w:p>
        </w:tc>
      </w:tr>
      <w:tr w:rsidTr="53715E98" w14:paraId="04D7B74D" w14:textId="77777777">
        <w:tc>
          <w:tcPr>
            <w:tcW w:w="9322" w:type="dxa"/>
            <w:gridSpan w:val="2"/>
            <w:tcMar/>
          </w:tcPr>
          <w:p w14:paraId="4D02F0AB" w14:textId="77777777">
            <w:pPr>
              <w:rPr>
                <w:i/>
                <w:sz w:val="24"/>
              </w:rPr>
              <w:pStyle w:val="P68B1DB1-Normlny2"/>
            </w:pPr>
            <w:r>
              <w:rPr>
                <w:b/>
              </w:rPr>
              <w:t xml:space="preserve">Language which is necessary to complete the course:</w:t>
            </w:r>
            <w:r>
              <w:t xml:space="preserve"> Ukrainian language, Slovak language</w:t>
            </w:r>
          </w:p>
        </w:tc>
      </w:tr>
      <w:tr w:rsidTr="53715E98" w14:paraId="25233D90" w14:textId="77777777">
        <w:tc>
          <w:tcPr>
            <w:tcW w:w="9322" w:type="dxa"/>
            <w:gridSpan w:val="2"/>
            <w:tcMar/>
          </w:tcPr>
          <w:p w14:paraId="629FBD04" w14:textId="77777777">
            <w:pPr>
              <w:rPr>
                <w:i/>
                <w:sz w:val="24"/>
              </w:rPr>
              <w:pStyle w:val="P68B1DB1-Normlny2"/>
            </w:pPr>
            <w:r>
              <w:rPr>
                <w:b/>
              </w:rPr>
              <w:t>Notes:</w:t>
            </w:r>
            <w:r>
              <w:t xml:space="preserve"> </w:t>
            </w:r>
          </w:p>
        </w:tc>
      </w:tr>
      <w:tr w:rsidTr="53715E98" w14:paraId="11463F58" w14:textId="77777777">
        <w:tc>
          <w:tcPr>
            <w:tcW w:w="9322" w:type="dxa"/>
            <w:gridSpan w:val="2"/>
            <w:tcMar/>
          </w:tcPr>
          <w:p w:rsidP="53715E98" w14:paraId="53FD817F" w14:textId="77777777" w14:noSpellErr="1">
            <w:pPr>
              <w:rPr>
                <w:b w:val="1"/>
                <w:bCs w:val="1"/>
                <w:sz w:val="24"/>
                <w:szCs w:val="24"/>
              </w:rPr>
              <w:pStyle w:val="P68B1DB1-Normlny3"/>
            </w:pPr>
            <w:r w:rsidRPr="53715E98" w:rsidR="53715E98">
              <w:rPr>
                <w:b w:val="1"/>
                <w:bCs w:val="1"/>
              </w:rPr>
              <w:t>Course evaluation</w:t>
            </w:r>
          </w:p>
          <w:p w14:paraId="3F5DCA37" w14:textId="77777777">
            <w:pPr>
              <w:rPr>
                <w:sz w:val="24"/>
              </w:rPr>
              <w:pStyle w:val="P68B1DB1-Normlny2"/>
            </w:pPr>
            <w:r>
              <w:t xml:space="preserve">Total number of students evaluated: 136</w:t>
            </w:r>
          </w:p>
          <w:tbl>
            <w:tblPr>
              <w:tblStyle w:val="Mriekatabuky"/>
              <w:tblW w:w="0" w:type="auto"/>
              <w:tblLook w:val="04A0" w:firstRow="1" w:lastRow="0" w:firstColumn="1" w:lastColumn="0" w:noHBand="0" w:noVBand="1"/>
            </w:tblPr>
            <w:tblGrid>
              <w:gridCol w:w="1496"/>
              <w:gridCol w:w="1497"/>
              <w:gridCol w:w="1497"/>
              <w:gridCol w:w="1497"/>
              <w:gridCol w:w="1497"/>
              <w:gridCol w:w="1497"/>
            </w:tblGrid>
            <w:tr w14:paraId="7CBF5060" w14:textId="77777777">
              <w:tc>
                <w:tcPr>
                  <w:tcW w:w="1496" w:type="dxa"/>
                  <w:tcBorders>
                    <w:top w:val="single" w:color="auto" w:sz="4" w:space="0"/>
                    <w:left w:val="single" w:color="auto" w:sz="4" w:space="0"/>
                    <w:bottom w:val="single" w:color="auto" w:sz="4" w:space="0"/>
                    <w:right w:val="single" w:color="auto" w:sz="4" w:space="0"/>
                  </w:tcBorders>
                </w:tcPr>
                <w:p w14:paraId="0C237B19" w14:textId="77777777">
                  <w:pPr>
                    <w:jc w:val="center"/>
                    <w:rPr>
                      <w:sz w:val="24"/>
                    </w:rPr>
                    <w:pStyle w:val="P68B1DB1-Normlny2"/>
                  </w:pPr>
                  <w:r>
                    <w:t>A</w:t>
                  </w:r>
                </w:p>
              </w:tc>
              <w:tc>
                <w:tcPr>
                  <w:tcW w:w="1497" w:type="dxa"/>
                  <w:tcBorders>
                    <w:top w:val="single" w:color="auto" w:sz="4" w:space="0"/>
                    <w:left w:val="single" w:color="auto" w:sz="4" w:space="0"/>
                    <w:bottom w:val="single" w:color="auto" w:sz="4" w:space="0"/>
                    <w:right w:val="single" w:color="auto" w:sz="4" w:space="0"/>
                  </w:tcBorders>
                </w:tcPr>
                <w:p w14:paraId="48361CC3" w14:textId="77777777">
                  <w:pPr>
                    <w:jc w:val="center"/>
                    <w:rPr>
                      <w:sz w:val="24"/>
                    </w:rPr>
                    <w:pStyle w:val="P68B1DB1-Normlny2"/>
                  </w:pPr>
                  <w:r>
                    <w:t>B</w:t>
                  </w:r>
                </w:p>
              </w:tc>
              <w:tc>
                <w:tcPr>
                  <w:tcW w:w="1497" w:type="dxa"/>
                  <w:tcBorders>
                    <w:top w:val="single" w:color="auto" w:sz="4" w:space="0"/>
                    <w:left w:val="single" w:color="auto" w:sz="4" w:space="0"/>
                    <w:bottom w:val="single" w:color="auto" w:sz="4" w:space="0"/>
                    <w:right w:val="single" w:color="auto" w:sz="4" w:space="0"/>
                  </w:tcBorders>
                </w:tcPr>
                <w:p w14:paraId="5EFA44E5" w14:textId="77777777">
                  <w:pPr>
                    <w:jc w:val="center"/>
                    <w:rPr>
                      <w:sz w:val="24"/>
                    </w:rPr>
                    <w:pStyle w:val="P68B1DB1-Normlny2"/>
                  </w:pPr>
                  <w:r>
                    <w:t>C</w:t>
                  </w:r>
                </w:p>
              </w:tc>
              <w:tc>
                <w:tcPr>
                  <w:tcW w:w="1497" w:type="dxa"/>
                  <w:tcBorders>
                    <w:top w:val="single" w:color="auto" w:sz="4" w:space="0"/>
                    <w:left w:val="single" w:color="auto" w:sz="4" w:space="0"/>
                    <w:bottom w:val="single" w:color="auto" w:sz="4" w:space="0"/>
                    <w:right w:val="single" w:color="auto" w:sz="4" w:space="0"/>
                  </w:tcBorders>
                </w:tcPr>
                <w:p w14:paraId="42320026" w14:textId="77777777">
                  <w:pPr>
                    <w:jc w:val="center"/>
                    <w:rPr>
                      <w:sz w:val="24"/>
                    </w:rPr>
                    <w:pStyle w:val="P68B1DB1-Normlny2"/>
                  </w:pPr>
                  <w:r>
                    <w:t>D</w:t>
                  </w:r>
                </w:p>
              </w:tc>
              <w:tc>
                <w:tcPr>
                  <w:tcW w:w="1497" w:type="dxa"/>
                  <w:tcBorders>
                    <w:top w:val="single" w:color="auto" w:sz="4" w:space="0"/>
                    <w:left w:val="single" w:color="auto" w:sz="4" w:space="0"/>
                    <w:bottom w:val="single" w:color="auto" w:sz="4" w:space="0"/>
                    <w:right w:val="single" w:color="auto" w:sz="4" w:space="0"/>
                  </w:tcBorders>
                </w:tcPr>
                <w:p w14:paraId="133C8E6B" w14:textId="77777777">
                  <w:pPr>
                    <w:jc w:val="center"/>
                    <w:rPr>
                      <w:sz w:val="24"/>
                    </w:rPr>
                    <w:pStyle w:val="P68B1DB1-Normlny2"/>
                  </w:pPr>
                  <w:r>
                    <w:t>E</w:t>
                  </w:r>
                </w:p>
              </w:tc>
              <w:tc>
                <w:tcPr>
                  <w:tcW w:w="1497" w:type="dxa"/>
                  <w:tcBorders>
                    <w:top w:val="single" w:color="auto" w:sz="4" w:space="0"/>
                    <w:left w:val="single" w:color="auto" w:sz="4" w:space="0"/>
                    <w:bottom w:val="single" w:color="auto" w:sz="4" w:space="0"/>
                    <w:right w:val="single" w:color="auto" w:sz="4" w:space="0"/>
                  </w:tcBorders>
                </w:tcPr>
                <w:p w14:paraId="153065D5" w14:textId="77777777">
                  <w:pPr>
                    <w:jc w:val="center"/>
                    <w:rPr>
                      <w:sz w:val="24"/>
                    </w:rPr>
                    <w:pStyle w:val="P68B1DB1-Normlny2"/>
                  </w:pPr>
                  <w:r>
                    <w:t>FX</w:t>
                  </w:r>
                </w:p>
              </w:tc>
            </w:tr>
            <w:tr w14:paraId="75A00C7A" w14:textId="77777777">
              <w:tc>
                <w:tcPr>
                  <w:tcW w:w="1496" w:type="dxa"/>
                  <w:tcBorders>
                    <w:top w:val="single" w:color="auto" w:sz="4" w:space="0"/>
                    <w:left w:val="single" w:color="auto" w:sz="4" w:space="0"/>
                    <w:bottom w:val="single" w:color="auto" w:sz="4" w:space="0"/>
                    <w:right w:val="single" w:color="auto" w:sz="4" w:space="0"/>
                  </w:tcBorders>
                  <w:vAlign w:val="center"/>
                </w:tcPr>
                <w:p w14:paraId="527B7553" w14:textId="77777777">
                  <w:pPr>
                    <w:jc w:val="center"/>
                    <w:rPr>
                      <w:sz w:val="24"/>
                    </w:rPr>
                    <w:pStyle w:val="P68B1DB1-Normlny2"/>
                  </w:pPr>
                  <w:r>
                    <w:t>29%</w:t>
                  </w:r>
                </w:p>
              </w:tc>
              <w:tc>
                <w:tcPr>
                  <w:tcW w:w="1497" w:type="dxa"/>
                  <w:tcBorders>
                    <w:top w:val="single" w:color="auto" w:sz="4" w:space="0"/>
                    <w:left w:val="single" w:color="auto" w:sz="4" w:space="0"/>
                    <w:bottom w:val="single" w:color="auto" w:sz="4" w:space="0"/>
                    <w:right w:val="single" w:color="auto" w:sz="4" w:space="0"/>
                  </w:tcBorders>
                  <w:vAlign w:val="center"/>
                </w:tcPr>
                <w:p w14:paraId="6550D421" w14:textId="77777777">
                  <w:pPr>
                    <w:jc w:val="center"/>
                    <w:rPr>
                      <w:sz w:val="24"/>
                    </w:rPr>
                    <w:pStyle w:val="P68B1DB1-Normlny2"/>
                  </w:pPr>
                  <w:r>
                    <w:t>17%</w:t>
                  </w:r>
                </w:p>
              </w:tc>
              <w:tc>
                <w:tcPr>
                  <w:tcW w:w="1497" w:type="dxa"/>
                  <w:tcBorders>
                    <w:top w:val="single" w:color="auto" w:sz="4" w:space="0"/>
                    <w:left w:val="single" w:color="auto" w:sz="4" w:space="0"/>
                    <w:bottom w:val="single" w:color="auto" w:sz="4" w:space="0"/>
                    <w:right w:val="single" w:color="auto" w:sz="4" w:space="0"/>
                  </w:tcBorders>
                  <w:vAlign w:val="center"/>
                </w:tcPr>
                <w:p w14:paraId="68E6F42A" w14:textId="77777777">
                  <w:pPr>
                    <w:jc w:val="center"/>
                    <w:rPr>
                      <w:sz w:val="24"/>
                    </w:rPr>
                    <w:pStyle w:val="P68B1DB1-Normlny2"/>
                  </w:pPr>
                  <w:r>
                    <w:t>19%</w:t>
                  </w:r>
                </w:p>
              </w:tc>
              <w:tc>
                <w:tcPr>
                  <w:tcW w:w="1497" w:type="dxa"/>
                  <w:tcBorders>
                    <w:top w:val="single" w:color="auto" w:sz="4" w:space="0"/>
                    <w:left w:val="single" w:color="auto" w:sz="4" w:space="0"/>
                    <w:bottom w:val="single" w:color="auto" w:sz="4" w:space="0"/>
                    <w:right w:val="single" w:color="auto" w:sz="4" w:space="0"/>
                  </w:tcBorders>
                  <w:vAlign w:val="center"/>
                </w:tcPr>
                <w:p w14:paraId="7F31EAF6" w14:textId="77777777">
                  <w:pPr>
                    <w:jc w:val="center"/>
                    <w:rPr>
                      <w:sz w:val="24"/>
                    </w:rPr>
                    <w:pStyle w:val="P68B1DB1-Normlny2"/>
                  </w:pPr>
                  <w:r>
                    <w:t>12%</w:t>
                  </w:r>
                </w:p>
              </w:tc>
              <w:tc>
                <w:tcPr>
                  <w:tcW w:w="1497" w:type="dxa"/>
                  <w:tcBorders>
                    <w:top w:val="single" w:color="auto" w:sz="4" w:space="0"/>
                    <w:left w:val="single" w:color="auto" w:sz="4" w:space="0"/>
                    <w:bottom w:val="single" w:color="auto" w:sz="4" w:space="0"/>
                    <w:right w:val="single" w:color="auto" w:sz="4" w:space="0"/>
                  </w:tcBorders>
                  <w:vAlign w:val="center"/>
                </w:tcPr>
                <w:p w14:paraId="390FDB4D" w14:textId="77777777">
                  <w:pPr>
                    <w:jc w:val="center"/>
                    <w:rPr>
                      <w:sz w:val="24"/>
                    </w:rPr>
                    <w:pStyle w:val="P68B1DB1-Normlny2"/>
                  </w:pPr>
                  <w:r>
                    <w:t>11%</w:t>
                  </w:r>
                </w:p>
              </w:tc>
              <w:tc>
                <w:tcPr>
                  <w:tcW w:w="1497" w:type="dxa"/>
                  <w:tcBorders>
                    <w:top w:val="single" w:color="auto" w:sz="4" w:space="0"/>
                    <w:left w:val="single" w:color="auto" w:sz="4" w:space="0"/>
                    <w:bottom w:val="single" w:color="auto" w:sz="4" w:space="0"/>
                    <w:right w:val="single" w:color="auto" w:sz="4" w:space="0"/>
                  </w:tcBorders>
                  <w:vAlign w:val="center"/>
                </w:tcPr>
                <w:p w14:paraId="305CDD3C" w14:textId="77777777">
                  <w:pPr>
                    <w:jc w:val="center"/>
                    <w:rPr>
                      <w:sz w:val="24"/>
                    </w:rPr>
                    <w:pStyle w:val="P68B1DB1-Normlny2"/>
                  </w:pPr>
                  <w:r>
                    <w:t>12%</w:t>
                  </w:r>
                </w:p>
              </w:tc>
            </w:tr>
          </w:tbl>
          <w:p w14:paraId="180BA1AE" w14:textId="77777777">
            <w:pPr>
              <w:jc w:val="center"/>
              <w:rPr>
                <w:i/>
                <w:sz w:val="24"/>
              </w:rPr>
            </w:pPr>
          </w:p>
        </w:tc>
      </w:tr>
      <w:tr w:rsidTr="53715E98" w14:paraId="4D7C95FC" w14:textId="77777777">
        <w:tc>
          <w:tcPr>
            <w:tcW w:w="9322" w:type="dxa"/>
            <w:gridSpan w:val="2"/>
            <w:tcMar/>
          </w:tcPr>
          <w:p w:rsidP="53715E98" w14:paraId="5C33E247" w14:textId="4697D371">
            <w:pPr>
              <w:pStyle w:val="Normlny"/>
              <w:tabs>
                <w:tab w:val="left" w:pos="1530"/>
              </w:tabs>
              <w:rPr>
                <w:color w:val="1F2528"/>
                <w:sz w:val="24"/>
                <w:szCs w:val="24"/>
                <w:shd w:val="clear" w:color="auto" w:fill="FFFFFF"/>
              </w:rPr>
            </w:pPr>
            <w:r w:rsidRPr="53715E98" w:rsidR="53715E98">
              <w:rPr>
                <w:b w:val="1"/>
                <w:bCs w:val="1"/>
                <w:sz w:val="24"/>
                <w:szCs w:val="24"/>
              </w:rPr>
              <w:t>Lecturers:</w:t>
            </w:r>
            <w:r w:rsidRPr="53715E98" w:rsidR="53715E98">
              <w:rPr>
                <w:sz w:val="24"/>
                <w:szCs w:val="24"/>
              </w:rPr>
              <w:t xml:space="preserve"> </w:t>
            </w:r>
            <w:r w:rsidRPr="53715E98" w:rsidR="53715E98">
              <w:rPr>
                <w:color w:val="1F2528"/>
                <w:sz w:val="24"/>
                <w:szCs w:val="24"/>
                <w:shd w:val="clear" w:color="auto" w:fill="FFFFFF"/>
              </w:rPr>
              <w:t xml:space="preserve">Prof. PhDr. </w:t>
            </w:r>
            <w:r w:rsidRPr="53715E98" w:rsidR="53715E98">
              <w:rPr>
                <w:rStyle w:val="apple-converted-space"/>
                <w:color w:val="1F2528"/>
                <w:sz w:val="24"/>
                <w:szCs w:val="24"/>
                <w:shd w:val="clear" w:color="auto" w:fill="FFFFFF"/>
              </w:rPr>
              <w:t xml:space="preserve"> Mária Čižmárová, CSc.</w:t>
            </w:r>
            <w:r w:rsidRPr="53715E98" w:rsidR="53715E98">
              <w:rPr>
                <w:rFonts w:ascii="Times New Roman" w:hAnsi="Times New Roman" w:eastAsia="Times New Roman" w:cs="Times New Roman"/>
                <w:b w:val="0"/>
                <w:bCs w:val="0"/>
                <w:i w:val="0"/>
                <w:iCs w:val="0"/>
                <w:caps w:val="0"/>
                <w:smallCaps w:val="0"/>
                <w:color w:val="1F2528"/>
                <w:sz w:val="24"/>
                <w:szCs w:val="24"/>
              </w:rPr>
              <w:t>,</w:t>
            </w:r>
            <w:r w:rsidRPr="53715E98" w:rsidR="53715E98">
              <w:rPr>
                <w:rStyle w:val="apple-converted-space"/>
                <w:color w:val="1F2528"/>
                <w:sz w:val="24"/>
                <w:szCs w:val="24"/>
                <w:shd w:val="clear" w:color="auto" w:fill="FFFFFF"/>
              </w:rPr>
              <w:t xml:space="preserve"> Mgr. Veronika Dadajová, Ph.D.</w:t>
            </w:r>
          </w:p>
        </w:tc>
      </w:tr>
      <w:tr w:rsidTr="53715E98" w14:paraId="7A6B1B79" w14:textId="77777777">
        <w:tc>
          <w:tcPr>
            <w:tcW w:w="9322" w:type="dxa"/>
            <w:gridSpan w:val="2"/>
            <w:tcMar/>
          </w:tcPr>
          <w:p w14:paraId="3F92B65E" w14:textId="456BC03D">
            <w:pPr>
              <w:tabs>
                <w:tab w:val="left" w:pos="1530"/>
              </w:tabs>
              <w:rPr>
                <w:sz w:val="24"/>
              </w:rPr>
              <w:pStyle w:val="P68B1DB1-Normlny2"/>
            </w:pPr>
            <w:r>
              <w:rPr>
                <w:b/>
              </w:rPr>
              <w:t xml:space="preserve">Date of last change:</w:t>
            </w:r>
            <w:r>
              <w:t xml:space="preserve"> 31.1.2021</w:t>
            </w:r>
          </w:p>
        </w:tc>
      </w:tr>
      <w:tr w:rsidTr="53715E98" w14:paraId="677BC5FC" w14:textId="77777777">
        <w:tc>
          <w:tcPr>
            <w:tcW w:w="9322" w:type="dxa"/>
            <w:gridSpan w:val="2"/>
            <w:tcMar/>
          </w:tcPr>
          <w:p w14:paraId="7A09DD4D" w14:textId="77777777">
            <w:pPr>
              <w:tabs>
                <w:tab w:val="left" w:pos="1530"/>
              </w:tabs>
              <w:rPr>
                <w:color w:val="1F2528"/>
                <w:sz w:val="24"/>
                <w:shd w:val="clear" w:color="auto" w:fill="FFFFFF"/>
              </w:rPr>
            </w:pPr>
            <w:r>
              <w:rPr>
                <w:b/>
                <w:sz w:val="24"/>
              </w:rPr>
              <w:t xml:space="preserve">Approved by:</w:t>
            </w:r>
            <w:r>
              <w:rPr>
                <w:sz w:val="24"/>
              </w:rPr>
              <w:t xml:space="preserve"> </w:t>
            </w:r>
            <w:r>
              <w:rPr>
                <w:color w:val="1F2528"/>
                <w:sz w:val="24"/>
                <w:shd w:val="clear" w:color="auto" w:fill="FFFFFF"/>
              </w:rPr>
              <w:t xml:space="preserve">Prof. PhDr. Mária Čižmárová, CSc.</w:t>
            </w:r>
            <w:r>
              <w:rPr>
                <w:rStyle w:val="apple-converted-space"/>
                <w:color w:val="1F2528"/>
                <w:sz w:val="24"/>
                <w:shd w:val="clear" w:color="auto" w:fill="FFFFFF"/>
              </w:rPr>
              <w:t xml:space="preserve"> </w:t>
            </w:r>
          </w:p>
        </w:tc>
      </w:tr>
    </w:tbl>
    <w:p w14:paraId="02C69B43" w14:textId="25E67BC7"/>
    <w:p w14:paraId="16273AB1" w14:textId="7A035105"/>
    <w:p w14:paraId="6C4819E9" w14:textId="2516EB78"/>
    <w:p w14:paraId="7B541CC1" w14:textId="64E000DC"/>
    <w:p w14:paraId="008DF5BB" w14:textId="6118B96F"/>
    <w:p w14:paraId="0C8EC181" w14:textId="5BA21933"/>
    <w:p w14:paraId="74ADA13A" w14:textId="440F16E5"/>
    <w:p w14:paraId="11EE2D87" w14:textId="795561D1"/>
    <w:p w14:paraId="5B967D98" w14:textId="375D1500"/>
    <w:p w14:paraId="08FB603E" w14:textId="2EA7E9B0"/>
    <w:p w14:paraId="7ABCE37E" w14:textId="3B7061D1"/>
    <w:p w14:paraId="6165714E" w14:textId="0BB8AA23"/>
    <w:p w14:paraId="4663AA4D" w14:textId="78891E8A"/>
    <w:p w14:paraId="3F659AC8" w14:textId="37EFADDE"/>
    <w:p w14:paraId="00EDF4DF" w14:textId="43D7AC9C"/>
    <w:p w14:paraId="4405ACD9" w14:textId="28C4CD69"/>
    <w:p w14:paraId="2109010D" w14:textId="717A0345"/>
    <w:p w14:paraId="70DC6D11" w14:textId="535120E2"/>
    <w:p w14:paraId="6A6753BE" w14:textId="19049178"/>
    <w:p w14:paraId="5F4D5C38" w14:textId="35D7AFF4"/>
    <w:p w14:paraId="2E85F4CA" w14:textId="640CB85B"/>
    <w:p w14:paraId="57096621" w14:textId="1E9FEF7C"/>
    <w:p w14:paraId="78B3264F" w14:textId="0BD1A2BB"/>
    <w:p w14:paraId="045CA77E" w14:textId="71925228"/>
    <w:p w14:paraId="1566AA04" w14:textId="1E951B12"/>
    <w:p w14:paraId="593C3D2E" w14:textId="7703FE07"/>
    <w:sectPr>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zoom w:percent="100"/>
  <w:trackRevisions w:val="false"/>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44B"/>
    <w:rsid w:val="00044D22"/>
    <w:rsid w:val="00156D55"/>
    <w:rsid w:val="00184EF5"/>
    <w:rsid w:val="001F6742"/>
    <w:rsid w:val="002468E4"/>
    <w:rsid w:val="00280A5B"/>
    <w:rsid w:val="003F70AA"/>
    <w:rsid w:val="0048261C"/>
    <w:rsid w:val="004E03CA"/>
    <w:rsid w:val="00505638"/>
    <w:rsid w:val="005B48E9"/>
    <w:rsid w:val="00645B29"/>
    <w:rsid w:val="006B2779"/>
    <w:rsid w:val="00725E8E"/>
    <w:rsid w:val="008179D3"/>
    <w:rsid w:val="0087068D"/>
    <w:rsid w:val="00877CD8"/>
    <w:rsid w:val="00885E5F"/>
    <w:rsid w:val="008F2CB2"/>
    <w:rsid w:val="009D3372"/>
    <w:rsid w:val="00A16229"/>
    <w:rsid w:val="00B511E3"/>
    <w:rsid w:val="00B7321E"/>
    <w:rsid w:val="00C47512"/>
    <w:rsid w:val="00C66831"/>
    <w:rsid w:val="00D70F09"/>
    <w:rsid w:val="00DD3BA2"/>
    <w:rsid w:val="00E710D2"/>
    <w:rsid w:val="00EC3269"/>
    <w:rsid w:val="00F8344B"/>
    <w:rsid w:val="00FC0888"/>
    <w:rsid w:val="00FF24B2"/>
    <w:rsid w:val="224C6B1E"/>
    <w:rsid w:val="2E82E0B8"/>
    <w:rsid w:val="51D58E37"/>
    <w:rsid w:val="51D58E37"/>
    <w:rsid w:val="53715E98"/>
    <w:rsid w:val="6D1D2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357F6"/>
  <w15:docId w15:val="{CA3D571D-1976-431E-935B-4461D07D0C9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pPrDefault>
      <w:pPr>
        <w:spacing w:after="160" w:line="259" w:lineRule="auto"/>
      </w:pPr>
    </w:pPrDefault>
    <w:rPrDefault>
      <w:rPr>
        <w:rFonts w:asciiTheme="minorHAnsi" w:hAnsiTheme="minorHAnsi" w:eastAsiaTheme="minorHAnsi" w:cstheme="minorBidi"/>
        <w:sz w:val="22"/>
      </w:rPr>
    </w:r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lny" w:default="1">
    <w:name w:val="Normal"/>
    <w:qFormat/>
  </w:style>
  <w:style w:type="character" w:styleId="Predvolenpsmoodseku" w:default="1">
    <w:name w:val="Default Paragraph Font"/>
    <w:uiPriority w:val="1"/>
    <w:semiHidden/>
    <w:unhideWhenUsed/>
  </w:style>
  <w:style w:type="table" w:styleId="Normlnatabuka" w:default="1">
    <w:name w:val="Normal Table"/>
    <w:uiPriority w:val="99"/>
    <w:semiHidden/>
    <w:unhideWhenUsed/>
    <w:tblPr>
      <w:tblInd w:w="0" w:type="dxa"/>
      <w:tblCellMar>
        <w:top w:w="0" w:type="dxa"/>
        <w:left w:w="108" w:type="dxa"/>
        <w:bottom w:w="0" w:type="dxa"/>
        <w:right w:w="108" w:type="dxa"/>
      </w:tblCellMar>
    </w:tblPr>
  </w:style>
  <w:style w:type="numbering" w:styleId="Bezzoznamu" w:default="1">
    <w:name w:val="No List"/>
    <w:uiPriority w:val="99"/>
    <w:semiHidden/>
    <w:unhideWhenUsed/>
  </w:style>
  <w:style w:type="table" w:styleId="Mriekatabuky">
    <w:name w:val="Table Grid"/>
    <w:basedOn w:val="Normlnatabuka"/>
    <w:uiPriority w:val="99"/>
    <w:rsid w:val="00F8344B"/>
    <w:pPr>
      <w:spacing w:after="0" w:line="240" w:lineRule="auto"/>
    </w:pPr>
    <w:rPr>
      <w:rFonts w:ascii="Times New Roman" w:hAnsi="Times New Roman" w:eastAsia="Times New Roman" w:cs="Times New Roman"/>
      <w:sz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apple-converted-space" w:customStyle="1">
    <w:name w:val="apple-converted-space"/>
    <w:basedOn w:val="Predvolenpsmoodseku"/>
    <w:rsid w:val="00F8344B"/>
    <w:rPr>
      <w:rFonts w:cs="Times New Roman"/>
    </w:rPr>
  </w:style>
  <w:style w:type="paragraph" w:styleId="P68B1DB1-Normlny1">
    <w:name w:val="P68B1DB1-Normlny1"/>
    <w:basedOn w:val="Normlny"/>
    <w:rPr>
      <w:rFonts w:ascii="Times New Roman" w:hAnsi="Times New Roman" w:cs="Times New Roman"/>
      <w:sz w:val="24"/>
    </w:rPr>
  </w:style>
  <w:style w:type="paragraph" w:styleId="P68B1DB1-Normlny2">
    <w:name w:val="P68B1DB1-Normlny2"/>
    <w:basedOn w:val="Normlny"/>
    <w:rPr>
      <w:sz w:val="24"/>
    </w:rPr>
  </w:style>
  <w:style w:type="paragraph" w:styleId="P68B1DB1-Normlny3">
    <w:name w:val="P68B1DB1-Normlny3"/>
    <w:basedOn w:val="Normlny"/>
    <w:rPr>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99"/>
    <w:rsid w:val="00F8344B"/>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Predvolenpsmoodseku"/>
    <w:rsid w:val="00F8344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449FB590C667D43B31135B48D4888D5" ma:contentTypeVersion="4" ma:contentTypeDescription="Umožňuje vytvoriť nový dokument." ma:contentTypeScope="" ma:versionID="a205d3156c7c5e19c8219b3e1bff9c11">
  <xsd:schema xmlns:xsd="http://www.w3.org/2001/XMLSchema" xmlns:xs="http://www.w3.org/2001/XMLSchema" xmlns:p="http://schemas.microsoft.com/office/2006/metadata/properties" xmlns:ns2="3d439e20-43be-4f8d-bbf1-74e73b9f8a25" xmlns:ns3="f2205314-68b6-4c44-a434-c18f3048b9f6" targetNamespace="http://schemas.microsoft.com/office/2006/metadata/properties" ma:root="true" ma:fieldsID="122c2c5e511e0c9258dae8d82af2f5ed" ns2:_="" ns3:_="">
    <xsd:import namespace="3d439e20-43be-4f8d-bbf1-74e73b9f8a25"/>
    <xsd:import namespace="f2205314-68b6-4c44-a434-c18f3048b9f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439e20-43be-4f8d-bbf1-74e73b9f8a25"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205314-68b6-4c44-a434-c18f3048b9f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951592-EDE5-4C60-B0CA-EFD0A6420FB6}"/>
</file>

<file path=customXml/itemProps2.xml><?xml version="1.0" encoding="utf-8"?>
<ds:datastoreItem xmlns:ds="http://schemas.openxmlformats.org/officeDocument/2006/customXml" ds:itemID="{6CC79D79-B531-4B54-9302-0AEC040FC578}"/>
</file>

<file path=customXml/itemProps3.xml><?xml version="1.0" encoding="utf-8"?>
<ds:datastoreItem xmlns:ds="http://schemas.openxmlformats.org/officeDocument/2006/customXml" ds:itemID="{191AA8F2-0555-4231-ABE6-24D686989FF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HP</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Dadajová Veronika</dc:creator>
  <cp:lastModifiedBy>Nastenko Anastasiia</cp:lastModifiedBy>
  <cp:revision>6</cp:revision>
  <cp:lastPrinted>2022-02-10T08:35:00Z</cp:lastPrinted>
  <dcterms:created xsi:type="dcterms:W3CDTF">2022-02-01T13:25:00Z</dcterms:created>
  <dcterms:modified xsi:type="dcterms:W3CDTF">2022-02-20T07:50:54Z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0x0101007449FB590C667D43B31135B48D4888D5</vt:lpwstr>
  </property>
</Properties>
</file>