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7E597E" w:rsidRDefault="0034783F">
      <w:pPr>
        <w:ind w:left="720"/>
        <w:jc w:val="center"/>
      </w:pPr>
      <w:r>
        <w:t>COURSE DESCRIPTION</w:t>
      </w:r>
    </w:p>
    <w:p w14:paraId="672A6659" w14:textId="77777777" w:rsidR="007E597E" w:rsidRDefault="007E597E">
      <w:pPr>
        <w:ind w:left="720"/>
        <w:jc w:val="center"/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7E597E" w14:paraId="7A2958E3" w14:textId="77777777" w:rsidTr="0ECCA1D1">
        <w:tc>
          <w:tcPr>
            <w:tcW w:w="9322" w:type="dxa"/>
            <w:gridSpan w:val="2"/>
          </w:tcPr>
          <w:p w14:paraId="169BF999" w14:textId="77777777" w:rsidR="007E597E" w:rsidRDefault="0034783F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7E597E" w14:paraId="14129AA2" w14:textId="77777777" w:rsidTr="0ECCA1D1">
        <w:tc>
          <w:tcPr>
            <w:tcW w:w="9322" w:type="dxa"/>
            <w:gridSpan w:val="2"/>
          </w:tcPr>
          <w:p w14:paraId="5182F384" w14:textId="77777777" w:rsidR="007E597E" w:rsidRDefault="0034783F">
            <w:pPr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7E597E" w14:paraId="0EE2EE46" w14:textId="77777777" w:rsidTr="0ECCA1D1">
        <w:tc>
          <w:tcPr>
            <w:tcW w:w="4110" w:type="dxa"/>
          </w:tcPr>
          <w:p w14:paraId="6E6CF72F" w14:textId="7C341FAB" w:rsidR="007E597E" w:rsidRDefault="0ECCA1D1" w:rsidP="0ECCA1D1">
            <w:pPr>
              <w:rPr>
                <w:i/>
                <w:iCs/>
              </w:rPr>
            </w:pPr>
            <w:proofErr w:type="spellStart"/>
            <w:r w:rsidRPr="0ECCA1D1">
              <w:rPr>
                <w:b/>
                <w:bCs/>
              </w:rPr>
              <w:t>Code</w:t>
            </w:r>
            <w:proofErr w:type="spellEnd"/>
            <w:r w:rsidRPr="0ECCA1D1">
              <w:rPr>
                <w:b/>
                <w:bCs/>
              </w:rPr>
              <w:t>:</w:t>
            </w:r>
            <w:r>
              <w:t xml:space="preserve"> 1IUKR/UDSU1/22</w:t>
            </w:r>
          </w:p>
        </w:tc>
        <w:tc>
          <w:tcPr>
            <w:tcW w:w="5212" w:type="dxa"/>
          </w:tcPr>
          <w:p w14:paraId="25A12BF3" w14:textId="50D08DFE" w:rsidR="007E597E" w:rsidRDefault="0034783F">
            <w:pPr>
              <w:pStyle w:val="P68B1DB1-Normlny1"/>
            </w:pP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: </w:t>
            </w:r>
            <w:proofErr w:type="spellStart"/>
            <w:r w:rsidRPr="0034783F">
              <w:t>History</w:t>
            </w:r>
            <w:proofErr w:type="spellEnd"/>
            <w:r w:rsidRPr="0034783F">
              <w:t xml:space="preserve"> </w:t>
            </w:r>
            <w:proofErr w:type="spellStart"/>
            <w:r w:rsidRPr="0034783F">
              <w:t>of</w:t>
            </w:r>
            <w:proofErr w:type="spellEnd"/>
            <w:r w:rsidRPr="0034783F">
              <w:t xml:space="preserve"> </w:t>
            </w:r>
            <w:proofErr w:type="spellStart"/>
            <w:r w:rsidRPr="0034783F">
              <w:t>the</w:t>
            </w:r>
            <w:proofErr w:type="spellEnd"/>
            <w:r w:rsidRPr="0034783F">
              <w:t xml:space="preserve"> </w:t>
            </w:r>
            <w:proofErr w:type="spellStart"/>
            <w:r w:rsidRPr="0034783F">
              <w:t>Ukrainian</w:t>
            </w:r>
            <w:proofErr w:type="spellEnd"/>
            <w:r w:rsidRPr="0034783F">
              <w:t xml:space="preserve"> </w:t>
            </w:r>
            <w:proofErr w:type="spellStart"/>
            <w:r w:rsidRPr="0034783F">
              <w:t>Language</w:t>
            </w:r>
            <w:proofErr w:type="spellEnd"/>
            <w:r>
              <w:t xml:space="preserve"> (P)</w:t>
            </w:r>
          </w:p>
        </w:tc>
      </w:tr>
      <w:tr w:rsidR="007E597E" w14:paraId="5E711C1B" w14:textId="77777777" w:rsidTr="0ECCA1D1">
        <w:trPr>
          <w:trHeight w:val="1110"/>
        </w:trPr>
        <w:tc>
          <w:tcPr>
            <w:tcW w:w="9322" w:type="dxa"/>
            <w:gridSpan w:val="2"/>
          </w:tcPr>
          <w:p w14:paraId="02A6B47F" w14:textId="77777777" w:rsidR="007E597E" w:rsidRDefault="0034783F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63ABDD39" w14:textId="77777777" w:rsidR="007E597E" w:rsidRDefault="0034783F">
            <w:r>
              <w:t xml:space="preserve">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>.</w:t>
            </w:r>
          </w:p>
        </w:tc>
      </w:tr>
      <w:tr w:rsidR="007E597E" w14:paraId="755CF00E" w14:textId="77777777" w:rsidTr="0ECCA1D1">
        <w:trPr>
          <w:trHeight w:val="286"/>
        </w:trPr>
        <w:tc>
          <w:tcPr>
            <w:tcW w:w="9322" w:type="dxa"/>
            <w:gridSpan w:val="2"/>
          </w:tcPr>
          <w:p w14:paraId="3D474AD8" w14:textId="77777777" w:rsidR="007E597E" w:rsidRDefault="0034783F"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  <w:r>
              <w:t>2</w:t>
            </w:r>
          </w:p>
        </w:tc>
      </w:tr>
      <w:tr w:rsidR="007E597E" w14:paraId="0340ED24" w14:textId="77777777" w:rsidTr="0ECCA1D1">
        <w:tc>
          <w:tcPr>
            <w:tcW w:w="9322" w:type="dxa"/>
            <w:gridSpan w:val="2"/>
          </w:tcPr>
          <w:p w14:paraId="6DA6AFF9" w14:textId="77777777" w:rsidR="007E597E" w:rsidRDefault="0034783F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semeste</w:t>
            </w:r>
            <w:proofErr w:type="spellEnd"/>
            <w:r>
              <w:rPr>
                <w:b/>
              </w:rPr>
              <w:t>:</w:t>
            </w:r>
            <w:r>
              <w:t xml:space="preserve"> 3rd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7E597E" w14:paraId="63AF997A" w14:textId="77777777" w:rsidTr="0ECCA1D1">
        <w:tc>
          <w:tcPr>
            <w:tcW w:w="9322" w:type="dxa"/>
            <w:gridSpan w:val="2"/>
          </w:tcPr>
          <w:p w14:paraId="2F804F8A" w14:textId="77777777" w:rsidR="007E597E" w:rsidRDefault="0034783F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1. </w:t>
            </w:r>
          </w:p>
        </w:tc>
      </w:tr>
      <w:tr w:rsidR="007E597E" w14:paraId="27AAC286" w14:textId="77777777" w:rsidTr="0ECCA1D1">
        <w:tc>
          <w:tcPr>
            <w:tcW w:w="9322" w:type="dxa"/>
            <w:gridSpan w:val="2"/>
          </w:tcPr>
          <w:p w14:paraId="6C20A0AB" w14:textId="77777777" w:rsidR="007E597E" w:rsidRDefault="0034783F">
            <w:pPr>
              <w:rPr>
                <w:i/>
              </w:rPr>
            </w:pPr>
            <w:proofErr w:type="spellStart"/>
            <w:r>
              <w:rPr>
                <w:b/>
              </w:rPr>
              <w:t>Prerequisites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 -</w:t>
            </w:r>
          </w:p>
        </w:tc>
      </w:tr>
      <w:tr w:rsidR="007E597E" w14:paraId="49346EF8" w14:textId="77777777" w:rsidTr="0ECCA1D1">
        <w:tc>
          <w:tcPr>
            <w:tcW w:w="9322" w:type="dxa"/>
            <w:gridSpan w:val="2"/>
          </w:tcPr>
          <w:p w14:paraId="402B2EBA" w14:textId="77777777" w:rsidR="007E597E" w:rsidRDefault="0034783F">
            <w:pPr>
              <w:autoSpaceDE w:val="0"/>
              <w:autoSpaceDN w:val="0"/>
              <w:adjustRightInd w:val="0"/>
            </w:pPr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3546AB0" w14:textId="74DA2DC3" w:rsidR="007E597E" w:rsidRDefault="0ECCA1D1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lectures</w:t>
            </w:r>
            <w:proofErr w:type="spellEnd"/>
            <w:r>
              <w:t xml:space="preserve">. </w:t>
            </w:r>
            <w:proofErr w:type="spellStart"/>
            <w:r>
              <w:t>Continuous</w:t>
            </w:r>
            <w:proofErr w:type="spellEnd"/>
            <w:r>
              <w:t xml:space="preserve"> test and a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 xml:space="preserve">.  </w:t>
            </w:r>
            <w:proofErr w:type="spellStart"/>
            <w:r>
              <w:t>Evaluated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proofErr w:type="spellEnd"/>
            <w:r>
              <w:t>.</w:t>
            </w:r>
          </w:p>
          <w:p w14:paraId="1CE5F35B" w14:textId="77777777" w:rsidR="007E597E" w:rsidRDefault="003478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r>
              <w:t>cessary</w:t>
            </w:r>
            <w:proofErr w:type="spellEnd"/>
            <w:r>
              <w:t xml:space="preserve">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via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MS </w:t>
            </w:r>
            <w:proofErr w:type="spellStart"/>
            <w:r>
              <w:t>Forms</w:t>
            </w:r>
            <w:proofErr w:type="spellEnd"/>
            <w:r>
              <w:t xml:space="preserve"> </w:t>
            </w:r>
            <w:proofErr w:type="spellStart"/>
            <w:r>
              <w:t>platform</w:t>
            </w:r>
            <w:proofErr w:type="spellEnd"/>
            <w:r>
              <w:t>.</w:t>
            </w:r>
          </w:p>
        </w:tc>
      </w:tr>
      <w:tr w:rsidR="007E597E" w14:paraId="2B40BEDC" w14:textId="77777777" w:rsidTr="0ECCA1D1">
        <w:tc>
          <w:tcPr>
            <w:tcW w:w="9322" w:type="dxa"/>
            <w:gridSpan w:val="2"/>
          </w:tcPr>
          <w:p w14:paraId="6986EBC2" w14:textId="77777777" w:rsidR="007E597E" w:rsidRDefault="0034783F">
            <w:pPr>
              <w:pStyle w:val="P68B1DB1-Normlny1"/>
              <w:autoSpaceDE w:val="0"/>
              <w:autoSpaceDN w:val="0"/>
              <w:adjustRightInd w:val="0"/>
            </w:pP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outcomes</w:t>
            </w:r>
            <w:proofErr w:type="spellEnd"/>
            <w:r>
              <w:t xml:space="preserve">: </w:t>
            </w:r>
          </w:p>
          <w:p w14:paraId="5B39C8FB" w14:textId="77777777" w:rsidR="007E597E" w:rsidRDefault="0034783F">
            <w:pPr>
              <w:pStyle w:val="P68B1DB1-Normlny2"/>
              <w:jc w:val="both"/>
            </w:pPr>
            <w:proofErr w:type="spellStart"/>
            <w:r>
              <w:rPr>
                <w:b/>
              </w:rPr>
              <w:t>Knowledge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57DD32CD" w14:textId="77777777" w:rsidR="007E597E" w:rsidRDefault="0034783F">
            <w:pPr>
              <w:jc w:val="both"/>
              <w:rPr>
                <w:color w:val="000000"/>
              </w:rPr>
            </w:pPr>
            <w:proofErr w:type="spellStart"/>
            <w:r>
              <w:rPr>
                <w:rStyle w:val="jlqj4b"/>
              </w:rPr>
              <w:t>Students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must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know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main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stages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development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Ukrainian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language</w:t>
            </w:r>
            <w:proofErr w:type="spellEnd"/>
            <w:r>
              <w:rPr>
                <w:rStyle w:val="jlqj4b"/>
              </w:rPr>
              <w:t xml:space="preserve">, </w:t>
            </w:r>
            <w:proofErr w:type="spellStart"/>
            <w:r>
              <w:rPr>
                <w:rStyle w:val="jlqj4b"/>
              </w:rPr>
              <w:t>phonetic</w:t>
            </w:r>
            <w:proofErr w:type="spellEnd"/>
            <w:r>
              <w:rPr>
                <w:rStyle w:val="jlqj4b"/>
              </w:rPr>
              <w:t xml:space="preserve">, </w:t>
            </w:r>
            <w:proofErr w:type="spellStart"/>
            <w:r>
              <w:rPr>
                <w:rStyle w:val="jlqj4b"/>
              </w:rPr>
              <w:t>lexical</w:t>
            </w:r>
            <w:proofErr w:type="spellEnd"/>
            <w:r>
              <w:rPr>
                <w:rStyle w:val="jlqj4b"/>
              </w:rPr>
              <w:t xml:space="preserve"> and </w:t>
            </w:r>
            <w:proofErr w:type="spellStart"/>
            <w:r>
              <w:rPr>
                <w:rStyle w:val="jlqj4b"/>
              </w:rPr>
              <w:t>grammatical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features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Ukrainian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language</w:t>
            </w:r>
            <w:proofErr w:type="spellEnd"/>
            <w:r>
              <w:rPr>
                <w:rStyle w:val="jlqj4b"/>
              </w:rPr>
              <w:t xml:space="preserve">,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theory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origin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Ukrainian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language</w:t>
            </w:r>
            <w:proofErr w:type="spellEnd"/>
            <w:r>
              <w:rPr>
                <w:rStyle w:val="jlqj4b"/>
              </w:rPr>
              <w:t xml:space="preserve"> and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name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Ukraine</w:t>
            </w:r>
            <w:proofErr w:type="spellEnd"/>
            <w:r>
              <w:rPr>
                <w:rStyle w:val="jlqj4b"/>
              </w:rPr>
              <w:t xml:space="preserve">,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circumstances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origin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U</w:t>
            </w:r>
            <w:r>
              <w:rPr>
                <w:rStyle w:val="jlqj4b"/>
              </w:rPr>
              <w:t>krainian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book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printing</w:t>
            </w:r>
            <w:proofErr w:type="spellEnd"/>
            <w:r>
              <w:rPr>
                <w:rStyle w:val="jlqj4b"/>
              </w:rPr>
              <w:t xml:space="preserve">, </w:t>
            </w:r>
            <w:proofErr w:type="spellStart"/>
            <w:r>
              <w:rPr>
                <w:rStyle w:val="jlqj4b"/>
              </w:rPr>
              <w:t>vocabulary</w:t>
            </w:r>
            <w:proofErr w:type="spellEnd"/>
            <w:r>
              <w:rPr>
                <w:rStyle w:val="jlqj4b"/>
              </w:rPr>
              <w:t xml:space="preserve">, </w:t>
            </w:r>
            <w:proofErr w:type="spellStart"/>
            <w:r>
              <w:rPr>
                <w:rStyle w:val="jlqj4b"/>
              </w:rPr>
              <w:t>grammar</w:t>
            </w:r>
            <w:proofErr w:type="spellEnd"/>
            <w:r>
              <w:rPr>
                <w:rStyle w:val="jlqj4b"/>
              </w:rPr>
              <w:t xml:space="preserve"> and </w:t>
            </w:r>
            <w:proofErr w:type="spellStart"/>
            <w:r>
              <w:rPr>
                <w:rStyle w:val="jlqj4b"/>
              </w:rPr>
              <w:t>Ukrainian</w:t>
            </w:r>
            <w:proofErr w:type="spellEnd"/>
            <w:r>
              <w:rPr>
                <w:rStyle w:val="jlqj4b"/>
              </w:rPr>
              <w:t xml:space="preserve">. </w:t>
            </w:r>
            <w:proofErr w:type="spellStart"/>
            <w:r>
              <w:rPr>
                <w:rStyle w:val="jlqj4b"/>
              </w:rPr>
              <w:t>periodicals</w:t>
            </w:r>
            <w:proofErr w:type="spellEnd"/>
            <w:r>
              <w:rPr>
                <w:rStyle w:val="jlqj4b"/>
              </w:rPr>
              <w:t xml:space="preserve">. </w:t>
            </w:r>
          </w:p>
          <w:p w14:paraId="46ACBD07" w14:textId="77777777" w:rsidR="007E597E" w:rsidRDefault="0034783F">
            <w:pPr>
              <w:pStyle w:val="P68B1DB1-Normlny2"/>
              <w:jc w:val="both"/>
            </w:pPr>
            <w:proofErr w:type="spellStart"/>
            <w:r>
              <w:rPr>
                <w:b/>
              </w:rPr>
              <w:t>Skills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B3775DC" w14:textId="77777777" w:rsidR="007E597E" w:rsidRDefault="0034783F">
            <w:pPr>
              <w:jc w:val="both"/>
              <w:rPr>
                <w:color w:val="000000"/>
              </w:rPr>
            </w:pPr>
            <w:proofErr w:type="spellStart"/>
            <w:r>
              <w:rPr>
                <w:rStyle w:val="jlqj4b"/>
              </w:rPr>
              <w:t>Students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should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be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able</w:t>
            </w:r>
            <w:proofErr w:type="spellEnd"/>
            <w:r>
              <w:rPr>
                <w:rStyle w:val="jlqj4b"/>
              </w:rPr>
              <w:t xml:space="preserve"> to </w:t>
            </w:r>
            <w:proofErr w:type="spellStart"/>
            <w:r>
              <w:rPr>
                <w:rStyle w:val="jlqj4b"/>
              </w:rPr>
              <w:t>use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linguistic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terminology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related</w:t>
            </w:r>
            <w:proofErr w:type="spellEnd"/>
            <w:r>
              <w:rPr>
                <w:rStyle w:val="jlqj4b"/>
              </w:rPr>
              <w:t xml:space="preserve"> to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history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Ukrainian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language</w:t>
            </w:r>
            <w:proofErr w:type="spellEnd"/>
            <w:r>
              <w:rPr>
                <w:rStyle w:val="jlqj4b"/>
              </w:rPr>
              <w:t xml:space="preserve">, to </w:t>
            </w:r>
            <w:proofErr w:type="spellStart"/>
            <w:r>
              <w:rPr>
                <w:rStyle w:val="jlqj4b"/>
              </w:rPr>
              <w:t>comment</w:t>
            </w:r>
            <w:proofErr w:type="spellEnd"/>
            <w:r>
              <w:rPr>
                <w:rStyle w:val="jlqj4b"/>
              </w:rPr>
              <w:t xml:space="preserve"> on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origin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Ukrainian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language</w:t>
            </w:r>
            <w:proofErr w:type="spellEnd"/>
            <w:r>
              <w:rPr>
                <w:rStyle w:val="jlqj4b"/>
              </w:rPr>
              <w:t xml:space="preserve">,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name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Ukraine</w:t>
            </w:r>
            <w:proofErr w:type="spellEnd"/>
            <w:r>
              <w:rPr>
                <w:rStyle w:val="jlqj4b"/>
              </w:rPr>
              <w:t xml:space="preserve">, </w:t>
            </w:r>
            <w:r>
              <w:rPr>
                <w:rStyle w:val="jlqj4b"/>
              </w:rPr>
              <w:t xml:space="preserve">to </w:t>
            </w:r>
            <w:proofErr w:type="spellStart"/>
            <w:r>
              <w:rPr>
                <w:rStyle w:val="jlqj4b"/>
              </w:rPr>
              <w:t>argue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with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relevant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terms</w:t>
            </w:r>
            <w:proofErr w:type="spellEnd"/>
            <w:r>
              <w:rPr>
                <w:rStyle w:val="jlqj4b"/>
              </w:rPr>
              <w:t xml:space="preserve"> in </w:t>
            </w:r>
            <w:proofErr w:type="spellStart"/>
            <w:r>
              <w:rPr>
                <w:rStyle w:val="jlqj4b"/>
              </w:rPr>
              <w:t>matters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discussion</w:t>
            </w:r>
            <w:proofErr w:type="spellEnd"/>
            <w:r>
              <w:rPr>
                <w:rStyle w:val="jlqj4b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2692364D" w14:textId="77777777" w:rsidR="007E597E" w:rsidRDefault="0034783F">
            <w:pPr>
              <w:pStyle w:val="P68B1DB1-Normlny2"/>
              <w:jc w:val="both"/>
            </w:pPr>
            <w:proofErr w:type="spellStart"/>
            <w:r>
              <w:rPr>
                <w:b/>
              </w:rPr>
              <w:t>Competences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40A3C41F" w14:textId="77777777" w:rsidR="007E597E" w:rsidRDefault="0034783F">
            <w:pPr>
              <w:jc w:val="both"/>
            </w:pPr>
            <w:proofErr w:type="spellStart"/>
            <w:r>
              <w:rPr>
                <w:color w:val="000000"/>
              </w:rPr>
              <w:t>Graduates</w:t>
            </w:r>
            <w:proofErr w:type="spellEnd"/>
            <w:r>
              <w:rPr>
                <w:color w:val="000000"/>
              </w:rPr>
              <w:t xml:space="preserve"> are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to </w:t>
            </w:r>
            <w:proofErr w:type="spellStart"/>
            <w:r>
              <w:rPr>
                <w:color w:val="000000"/>
              </w:rPr>
              <w:t>apply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acquired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knowledge</w:t>
            </w:r>
            <w:proofErr w:type="spellEnd"/>
            <w:r>
              <w:rPr>
                <w:color w:val="000000"/>
              </w:rPr>
              <w:t xml:space="preserve"> and are </w:t>
            </w:r>
            <w:proofErr w:type="spellStart"/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 xml:space="preserve"> to </w:t>
            </w:r>
            <w:proofErr w:type="spellStart"/>
            <w:r>
              <w:rPr>
                <w:color w:val="000000"/>
              </w:rPr>
              <w:t>engage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discussions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historical</w:t>
            </w:r>
            <w:proofErr w:type="spellEnd"/>
            <w:r>
              <w:rPr>
                <w:rStyle w:val="jlqj4b"/>
              </w:rPr>
              <w:t xml:space="preserve"> and </w:t>
            </w:r>
            <w:proofErr w:type="spellStart"/>
            <w:r>
              <w:rPr>
                <w:rStyle w:val="jlqj4b"/>
              </w:rPr>
              <w:t>social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context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different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periods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development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of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the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Ukrainian</w:t>
            </w:r>
            <w:proofErr w:type="spellEnd"/>
            <w:r>
              <w:rPr>
                <w:rStyle w:val="jlqj4b"/>
              </w:rPr>
              <w:t xml:space="preserve"> </w:t>
            </w:r>
            <w:proofErr w:type="spellStart"/>
            <w:r>
              <w:rPr>
                <w:rStyle w:val="jlqj4b"/>
              </w:rPr>
              <w:t>lan</w:t>
            </w:r>
            <w:r>
              <w:rPr>
                <w:rStyle w:val="jlqj4b"/>
              </w:rPr>
              <w:t>guage</w:t>
            </w:r>
            <w:proofErr w:type="spellEnd"/>
            <w:r>
              <w:rPr>
                <w:rStyle w:val="jlqj4b"/>
              </w:rPr>
              <w:t>.</w:t>
            </w:r>
          </w:p>
        </w:tc>
      </w:tr>
      <w:tr w:rsidR="007E597E" w14:paraId="20A05FDB" w14:textId="77777777" w:rsidTr="0ECCA1D1">
        <w:tc>
          <w:tcPr>
            <w:tcW w:w="9322" w:type="dxa"/>
            <w:gridSpan w:val="2"/>
          </w:tcPr>
          <w:p w14:paraId="11A8D99F" w14:textId="77777777" w:rsidR="007E597E" w:rsidRDefault="0034783F"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</w:t>
            </w:r>
            <w:proofErr w:type="spellStart"/>
            <w:r>
              <w:t>Kiev</w:t>
            </w:r>
            <w:proofErr w:type="spellEnd"/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. Standard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Mongol </w:t>
            </w:r>
            <w:proofErr w:type="spellStart"/>
            <w:r>
              <w:t>period</w:t>
            </w:r>
            <w:proofErr w:type="spellEnd"/>
            <w:r>
              <w:t xml:space="preserve"> (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half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13th - 16th </w:t>
            </w:r>
            <w:proofErr w:type="spellStart"/>
            <w:r>
              <w:t>centuries</w:t>
            </w:r>
            <w:proofErr w:type="spellEnd"/>
            <w:r>
              <w:t xml:space="preserve">).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flourishing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(17th - </w:t>
            </w:r>
            <w:proofErr w:type="spellStart"/>
            <w:r>
              <w:t>beginning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18th </w:t>
            </w:r>
            <w:proofErr w:type="spellStart"/>
            <w:r>
              <w:t>century</w:t>
            </w:r>
            <w:proofErr w:type="spellEnd"/>
            <w:r>
              <w:t xml:space="preserve">).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decline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ancient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19th - </w:t>
            </w:r>
            <w:proofErr w:type="spellStart"/>
            <w:r>
              <w:t>beginning</w:t>
            </w:r>
            <w:proofErr w:type="spellEnd"/>
            <w:r>
              <w:t xml:space="preserve">. 20th </w:t>
            </w:r>
            <w:proofErr w:type="spellStart"/>
            <w:r>
              <w:t>century</w:t>
            </w:r>
            <w:proofErr w:type="spellEnd"/>
            <w:r>
              <w:t xml:space="preserve">. T. H. </w:t>
            </w:r>
            <w:proofErr w:type="spellStart"/>
            <w:r>
              <w:t>Shevchenko</w:t>
            </w:r>
            <w:proofErr w:type="spellEnd"/>
            <w:r>
              <w:t xml:space="preserve"> - </w:t>
            </w:r>
            <w:proofErr w:type="spellStart"/>
            <w:r>
              <w:t>reformer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. </w:t>
            </w:r>
          </w:p>
          <w:p w14:paraId="1B7D4057" w14:textId="77777777" w:rsidR="007E597E" w:rsidRDefault="0034783F">
            <w:pPr>
              <w:rPr>
                <w:i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Ukrainians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eastern</w:t>
            </w:r>
            <w:proofErr w:type="spellEnd"/>
            <w:r>
              <w:t xml:space="preserve"> Slovakia - </w:t>
            </w:r>
            <w:proofErr w:type="spellStart"/>
            <w:r>
              <w:t>determination</w:t>
            </w:r>
            <w:proofErr w:type="spellEnd"/>
            <w:r>
              <w:t xml:space="preserve"> and </w:t>
            </w:r>
            <w:proofErr w:type="spellStart"/>
            <w:r>
              <w:t>differentiation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r>
              <w:t>guage</w:t>
            </w:r>
            <w:proofErr w:type="spellEnd"/>
            <w:r>
              <w:t xml:space="preserve">. </w:t>
            </w:r>
            <w:proofErr w:type="spellStart"/>
            <w:r>
              <w:t>Substandard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, </w:t>
            </w:r>
            <w:proofErr w:type="spellStart"/>
            <w:r>
              <w:t>interdialect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Hungarian</w:t>
            </w:r>
            <w:proofErr w:type="spellEnd"/>
            <w:r>
              <w:t xml:space="preserve"> </w:t>
            </w:r>
            <w:proofErr w:type="spellStart"/>
            <w:r>
              <w:t>Rusyns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1918. Standard </w:t>
            </w:r>
            <w:proofErr w:type="spellStart"/>
            <w:r>
              <w:t>Ukrainian</w:t>
            </w:r>
            <w:proofErr w:type="spellEnd"/>
            <w:r>
              <w:t xml:space="preserve"> in Slovakia </w:t>
            </w:r>
            <w:proofErr w:type="spellStart"/>
            <w:r>
              <w:t>until</w:t>
            </w:r>
            <w:proofErr w:type="spellEnd"/>
            <w:r>
              <w:t xml:space="preserve"> 1990. </w:t>
            </w:r>
            <w:proofErr w:type="spellStart"/>
            <w:r>
              <w:t>Bilingualism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Ukrainians</w:t>
            </w:r>
            <w:proofErr w:type="spellEnd"/>
            <w:r>
              <w:t xml:space="preserve"> in Slovakia.</w:t>
            </w:r>
          </w:p>
        </w:tc>
      </w:tr>
      <w:tr w:rsidR="007E597E" w14:paraId="36FF9C86" w14:textId="77777777" w:rsidTr="0ECCA1D1">
        <w:tc>
          <w:tcPr>
            <w:tcW w:w="9322" w:type="dxa"/>
            <w:gridSpan w:val="2"/>
          </w:tcPr>
          <w:p w14:paraId="6F163926" w14:textId="77777777" w:rsidR="007E597E" w:rsidRDefault="0034783F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0240FB95" w14:textId="77777777" w:rsidR="007E597E" w:rsidRDefault="0034783F">
            <w:r>
              <w:t xml:space="preserve">RUSANIVSKYJ, V. M., 2002. </w:t>
            </w:r>
            <w:proofErr w:type="spellStart"/>
            <w:r>
              <w:rPr>
                <w:i/>
              </w:rPr>
              <w:t>Istorija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</w:t>
            </w:r>
            <w:r>
              <w:rPr>
                <w:i/>
              </w:rPr>
              <w:t>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literaturnoji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movy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ArtEk</w:t>
            </w:r>
            <w:proofErr w:type="spellEnd"/>
            <w:r>
              <w:br/>
              <w:t>ŠTEC, M., 1996</w:t>
            </w:r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rPr>
                <w:i/>
              </w:rPr>
              <w:t xml:space="preserve"> v </w:t>
            </w:r>
            <w:proofErr w:type="spellStart"/>
            <w:r>
              <w:rPr>
                <w:i/>
              </w:rPr>
              <w:t>Slovaččyni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Sociolinhvistyčne</w:t>
            </w:r>
            <w:proofErr w:type="spellEnd"/>
            <w:r>
              <w:rPr>
                <w:i/>
              </w:rPr>
              <w:t xml:space="preserve"> ta </w:t>
            </w:r>
            <w:proofErr w:type="spellStart"/>
            <w:r>
              <w:rPr>
                <w:i/>
              </w:rPr>
              <w:t>interlinhvistyčne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doslidžennja</w:t>
            </w:r>
            <w:proofErr w:type="spellEnd"/>
            <w:r>
              <w:t>. Prešov: Filozofická fakulta v Prešove Univerzita Pavla Jozefa Šafárika v Košiciach.</w:t>
            </w:r>
          </w:p>
        </w:tc>
      </w:tr>
      <w:tr w:rsidR="007E597E" w14:paraId="5997704C" w14:textId="77777777" w:rsidTr="0ECCA1D1">
        <w:tc>
          <w:tcPr>
            <w:tcW w:w="9322" w:type="dxa"/>
            <w:gridSpan w:val="2"/>
          </w:tcPr>
          <w:p w14:paraId="6A5EB354" w14:textId="77777777" w:rsidR="007E597E" w:rsidRDefault="0034783F">
            <w:pPr>
              <w:rPr>
                <w:i/>
              </w:rPr>
            </w:pPr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course:</w:t>
            </w:r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7E597E" w14:paraId="7533B424" w14:textId="77777777" w:rsidTr="0ECCA1D1">
        <w:tc>
          <w:tcPr>
            <w:tcW w:w="9322" w:type="dxa"/>
            <w:gridSpan w:val="2"/>
          </w:tcPr>
          <w:p w14:paraId="5FFB30A7" w14:textId="77777777" w:rsidR="007E597E" w:rsidRDefault="0034783F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7E597E" w14:paraId="32572BA8" w14:textId="77777777" w:rsidTr="0ECCA1D1">
        <w:tc>
          <w:tcPr>
            <w:tcW w:w="9322" w:type="dxa"/>
            <w:gridSpan w:val="2"/>
          </w:tcPr>
          <w:p w14:paraId="12CEC339" w14:textId="77777777" w:rsidR="007E597E" w:rsidRDefault="0034783F">
            <w:pPr>
              <w:pStyle w:val="P68B1DB1-Normlny1"/>
            </w:pP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</w:p>
          <w:p w14:paraId="4CEBDD59" w14:textId="77777777" w:rsidR="007E597E" w:rsidRDefault="0034783F"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88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7E597E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7E597E" w:rsidRDefault="0034783F">
                  <w:pPr>
                    <w:jc w:val="center"/>
                  </w:pPr>
                  <w:r>
                    <w:lastRenderedPageBreak/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7E597E" w:rsidRDefault="0034783F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7E597E" w:rsidRDefault="0034783F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7E597E" w:rsidRDefault="0034783F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7E597E" w:rsidRDefault="0034783F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7E597E" w:rsidRDefault="0034783F">
                  <w:pPr>
                    <w:jc w:val="center"/>
                  </w:pPr>
                  <w:r>
                    <w:t>FX</w:t>
                  </w:r>
                </w:p>
              </w:tc>
            </w:tr>
            <w:tr w:rsidR="007E597E" w14:paraId="7B2FEF80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D7059" w14:textId="77777777" w:rsidR="007E597E" w:rsidRDefault="0034783F">
                  <w:pPr>
                    <w:jc w:val="center"/>
                  </w:pPr>
                  <w:r>
                    <w:t>17%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C5AE4" w14:textId="77777777" w:rsidR="007E597E" w:rsidRDefault="0034783F">
                  <w:pPr>
                    <w:jc w:val="center"/>
                  </w:pPr>
                  <w:r>
                    <w:t>13%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6B6D8" w14:textId="77777777" w:rsidR="007E597E" w:rsidRDefault="0034783F">
                  <w:pPr>
                    <w:jc w:val="center"/>
                  </w:pPr>
                  <w:r>
                    <w:t>34%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B6B21" w14:textId="77777777" w:rsidR="007E597E" w:rsidRDefault="0034783F">
                  <w:pPr>
                    <w:jc w:val="center"/>
                  </w:pPr>
                  <w:r>
                    <w:t>10%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31760" w14:textId="77777777" w:rsidR="007E597E" w:rsidRDefault="0034783F">
                  <w:pPr>
                    <w:jc w:val="center"/>
                  </w:pPr>
                  <w:r>
                    <w:t>10%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5C733" w14:textId="77777777" w:rsidR="007E597E" w:rsidRDefault="0034783F">
                  <w:pPr>
                    <w:jc w:val="center"/>
                  </w:pPr>
                  <w:r>
                    <w:t>16%</w:t>
                  </w:r>
                </w:p>
              </w:tc>
            </w:tr>
          </w:tbl>
          <w:p w14:paraId="0A37501D" w14:textId="77777777" w:rsidR="007E597E" w:rsidRDefault="007E597E">
            <w:pPr>
              <w:rPr>
                <w:i/>
              </w:rPr>
            </w:pPr>
          </w:p>
        </w:tc>
      </w:tr>
      <w:tr w:rsidR="007E597E" w14:paraId="31F8C301" w14:textId="77777777" w:rsidTr="0ECCA1D1">
        <w:tc>
          <w:tcPr>
            <w:tcW w:w="9322" w:type="dxa"/>
            <w:gridSpan w:val="2"/>
          </w:tcPr>
          <w:p w14:paraId="6F8F9337" w14:textId="2C7CA62E" w:rsidR="007E597E" w:rsidRDefault="0ECCA1D1">
            <w:pPr>
              <w:tabs>
                <w:tab w:val="left" w:pos="1530"/>
              </w:tabs>
            </w:pPr>
            <w:proofErr w:type="spellStart"/>
            <w:r w:rsidRPr="0ECCA1D1">
              <w:rPr>
                <w:b/>
                <w:bCs/>
              </w:rPr>
              <w:lastRenderedPageBreak/>
              <w:t>Lecturers</w:t>
            </w:r>
            <w:proofErr w:type="spellEnd"/>
            <w:r w:rsidRPr="0ECCA1D1">
              <w:rPr>
                <w:b/>
                <w:bCs/>
              </w:rPr>
              <w:t>:</w:t>
            </w:r>
            <w:r>
              <w:t xml:space="preserve">  </w:t>
            </w:r>
            <w:r w:rsidRPr="0ECCA1D1">
              <w:rPr>
                <w:i/>
                <w:iCs/>
                <w:sz w:val="22"/>
                <w:szCs w:val="22"/>
              </w:rPr>
              <w:t xml:space="preserve">Prof. PhDr. Mária Čižmárová, CSc. </w:t>
            </w:r>
            <w:r w:rsidR="0034783F">
              <w:t xml:space="preserve">, </w:t>
            </w:r>
            <w:bookmarkStart w:id="0" w:name="_GoBack"/>
            <w:bookmarkEnd w:id="0"/>
            <w:r w:rsidRPr="0ECCA1D1">
              <w:rPr>
                <w:i/>
                <w:iCs/>
                <w:sz w:val="22"/>
                <w:szCs w:val="22"/>
              </w:rPr>
              <w:t xml:space="preserve">doc. </w:t>
            </w:r>
            <w:proofErr w:type="spellStart"/>
            <w:r w:rsidRPr="0ECCA1D1">
              <w:rPr>
                <w:i/>
                <w:iCs/>
                <w:sz w:val="22"/>
                <w:szCs w:val="22"/>
              </w:rPr>
              <w:t>Halyna</w:t>
            </w:r>
            <w:proofErr w:type="spellEnd"/>
            <w:r w:rsidRPr="0ECCA1D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ECCA1D1">
              <w:rPr>
                <w:i/>
                <w:iCs/>
                <w:sz w:val="22"/>
                <w:szCs w:val="22"/>
              </w:rPr>
              <w:t>Kuz</w:t>
            </w:r>
            <w:proofErr w:type="spellEnd"/>
            <w:r w:rsidRPr="0ECCA1D1">
              <w:rPr>
                <w:i/>
                <w:iCs/>
                <w:sz w:val="22"/>
                <w:szCs w:val="22"/>
              </w:rPr>
              <w:t>, PhD.</w:t>
            </w:r>
          </w:p>
        </w:tc>
      </w:tr>
      <w:tr w:rsidR="007E597E" w14:paraId="15825390" w14:textId="77777777" w:rsidTr="0ECCA1D1">
        <w:tc>
          <w:tcPr>
            <w:tcW w:w="9322" w:type="dxa"/>
            <w:gridSpan w:val="2"/>
          </w:tcPr>
          <w:p w14:paraId="7D953C65" w14:textId="77777777" w:rsidR="007E597E" w:rsidRDefault="0034783F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change</w:t>
            </w:r>
            <w:proofErr w:type="spellEnd"/>
            <w:r>
              <w:rPr>
                <w:b/>
              </w:rPr>
              <w:t>:</w:t>
            </w:r>
            <w:r>
              <w:t xml:space="preserve"> 18.01.2022</w:t>
            </w:r>
          </w:p>
        </w:tc>
      </w:tr>
      <w:tr w:rsidR="007E597E" w14:paraId="7AEBA37A" w14:textId="77777777" w:rsidTr="0ECCA1D1">
        <w:tc>
          <w:tcPr>
            <w:tcW w:w="9322" w:type="dxa"/>
            <w:gridSpan w:val="2"/>
          </w:tcPr>
          <w:p w14:paraId="2746DFC3" w14:textId="77777777" w:rsidR="007E597E" w:rsidRDefault="0034783F">
            <w:pPr>
              <w:tabs>
                <w:tab w:val="left" w:pos="1530"/>
              </w:tabs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  <w:r>
              <w:rPr>
                <w:i/>
                <w:color w:val="1F2528"/>
                <w:shd w:val="clear" w:color="auto" w:fill="FFFFFF"/>
              </w:rPr>
              <w:t>Prof. PhDr. Mária Čižmárová, CSc.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5DAB6C7B" w14:textId="77777777" w:rsidR="007E597E" w:rsidRDefault="007E597E"/>
    <w:p w14:paraId="02EB378F" w14:textId="77777777" w:rsidR="007E597E" w:rsidRDefault="007E597E"/>
    <w:p w14:paraId="6A05A809" w14:textId="77777777" w:rsidR="007E597E" w:rsidRDefault="007E597E"/>
    <w:sectPr w:rsidR="007E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F0"/>
    <w:rsid w:val="00117AC1"/>
    <w:rsid w:val="00227152"/>
    <w:rsid w:val="0034783F"/>
    <w:rsid w:val="007E597E"/>
    <w:rsid w:val="00C736E6"/>
    <w:rsid w:val="00E37AF0"/>
    <w:rsid w:val="00F9022A"/>
    <w:rsid w:val="0ECCA1D1"/>
    <w:rsid w:val="44E06377"/>
    <w:rsid w:val="544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A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7AC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17AC1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117AC1"/>
    <w:rPr>
      <w:rFonts w:cs="Times New Roman"/>
    </w:rPr>
  </w:style>
  <w:style w:type="character" w:customStyle="1" w:styleId="jlqj4b">
    <w:name w:val="jlqj4b"/>
    <w:basedOn w:val="Predvolenpsmoodseku"/>
    <w:rsid w:val="00117AC1"/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7AC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17AC1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117AC1"/>
    <w:rPr>
      <w:rFonts w:cs="Times New Roman"/>
    </w:rPr>
  </w:style>
  <w:style w:type="character" w:customStyle="1" w:styleId="jlqj4b">
    <w:name w:val="jlqj4b"/>
    <w:basedOn w:val="Predvolenpsmoodseku"/>
    <w:rsid w:val="00117AC1"/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EEBF2-977D-419B-BA97-38B1E580E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79865-27ED-41F5-957C-DA5A4FDDB72C}"/>
</file>

<file path=customXml/itemProps3.xml><?xml version="1.0" encoding="utf-8"?>
<ds:datastoreItem xmlns:ds="http://schemas.openxmlformats.org/officeDocument/2006/customXml" ds:itemID="{56B7D32D-9A2E-4765-AFD4-7E0DAC358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Company>HP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2022-02-10T08:21:00Z</cp:lastPrinted>
  <dcterms:created xsi:type="dcterms:W3CDTF">2022-02-09T15:26:00Z</dcterms:created>
  <dcterms:modified xsi:type="dcterms:W3CDTF">2022-03-01T08:48:00Z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