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046454" w:rsidRDefault="00AC2E0E">
      <w:pPr>
        <w:ind w:left="720"/>
        <w:jc w:val="right"/>
      </w:pPr>
      <w:r>
        <w:t>COURSE DESCRIPTION</w:t>
      </w:r>
    </w:p>
    <w:p w14:paraId="672A6659" w14:textId="77777777" w:rsidR="00046454" w:rsidRDefault="00046454">
      <w:pPr>
        <w:ind w:left="720"/>
        <w:jc w:val="center"/>
      </w:pPr>
    </w:p>
    <w:tbl>
      <w:tblPr>
        <w:tblStyle w:val="Mriekatabuky"/>
        <w:tblW w:w="9322" w:type="dxa"/>
        <w:tblLook w:val="00A0" w:firstRow="1" w:lastRow="0" w:firstColumn="1" w:lastColumn="0" w:noHBand="0" w:noVBand="0"/>
      </w:tblPr>
      <w:tblGrid>
        <w:gridCol w:w="4110"/>
        <w:gridCol w:w="5212"/>
      </w:tblGrid>
      <w:tr w:rsidR="00046454" w14:paraId="654726A2" w14:textId="77777777" w:rsidTr="3FC1093A">
        <w:tc>
          <w:tcPr>
            <w:tcW w:w="9322" w:type="dxa"/>
            <w:gridSpan w:val="2"/>
            <w:hideMark/>
          </w:tcPr>
          <w:p w14:paraId="637A4064" w14:textId="77777777" w:rsidR="00046454" w:rsidRDefault="00AC2E0E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</w:p>
        </w:tc>
      </w:tr>
      <w:tr w:rsidR="00046454" w14:paraId="14129AA2" w14:textId="77777777" w:rsidTr="3FC1093A">
        <w:tc>
          <w:tcPr>
            <w:tcW w:w="9322" w:type="dxa"/>
            <w:gridSpan w:val="2"/>
            <w:hideMark/>
          </w:tcPr>
          <w:p w14:paraId="5182F384" w14:textId="77777777" w:rsidR="00046454" w:rsidRDefault="00AC2E0E">
            <w:pPr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046454" w14:paraId="3A0C3D62" w14:textId="77777777" w:rsidTr="3FC1093A">
        <w:tc>
          <w:tcPr>
            <w:tcW w:w="4110" w:type="dxa"/>
            <w:hideMark/>
          </w:tcPr>
          <w:p w14:paraId="7F72D37D" w14:textId="76A3A642" w:rsidR="00046454" w:rsidRDefault="3FC1093A" w:rsidP="3FC1093A">
            <w:pPr>
              <w:rPr>
                <w:i/>
                <w:iCs/>
              </w:rPr>
            </w:pPr>
            <w:proofErr w:type="spellStart"/>
            <w:r w:rsidRPr="3FC1093A">
              <w:rPr>
                <w:b/>
                <w:bCs/>
              </w:rPr>
              <w:t>Code</w:t>
            </w:r>
            <w:proofErr w:type="spellEnd"/>
            <w:r w:rsidRPr="3FC1093A">
              <w:rPr>
                <w:b/>
                <w:bCs/>
              </w:rPr>
              <w:t>:</w:t>
            </w:r>
            <w:r>
              <w:t xml:space="preserve"> </w:t>
            </w:r>
            <w:r w:rsidRPr="3FC1093A">
              <w:rPr>
                <w:i/>
                <w:iCs/>
              </w:rPr>
              <w:t xml:space="preserve"> </w:t>
            </w:r>
            <w:r>
              <w:t>1IUSS / UOBPR /</w:t>
            </w:r>
          </w:p>
        </w:tc>
        <w:tc>
          <w:tcPr>
            <w:tcW w:w="5212" w:type="dxa"/>
            <w:hideMark/>
          </w:tcPr>
          <w:p w14:paraId="7EC1F6C4" w14:textId="7710EE9F" w:rsidR="00046454" w:rsidRDefault="3FC1093A" w:rsidP="3FC1093A">
            <w:pPr>
              <w:pStyle w:val="P68B1DB1-Normlny1"/>
              <w:rPr>
                <w:bCs/>
              </w:rPr>
            </w:pPr>
            <w:proofErr w:type="spellStart"/>
            <w:r w:rsidRPr="3FC1093A">
              <w:rPr>
                <w:bCs/>
              </w:rPr>
              <w:t>Course</w:t>
            </w:r>
            <w:proofErr w:type="spellEnd"/>
            <w:r w:rsidRPr="3FC1093A">
              <w:rPr>
                <w:bCs/>
              </w:rPr>
              <w:t xml:space="preserve"> </w:t>
            </w:r>
            <w:proofErr w:type="spellStart"/>
            <w:r w:rsidRPr="3FC1093A">
              <w:rPr>
                <w:bCs/>
              </w:rPr>
              <w:t>title</w:t>
            </w:r>
            <w:proofErr w:type="spellEnd"/>
            <w:r w:rsidRPr="3FC1093A">
              <w:rPr>
                <w:bCs/>
              </w:rPr>
              <w:t xml:space="preserve">: </w:t>
            </w:r>
            <w:bookmarkStart w:id="0" w:name="_GoBack"/>
            <w:proofErr w:type="spellStart"/>
            <w:r w:rsidR="00AC2E0E" w:rsidRPr="00AC2E0E">
              <w:rPr>
                <w:b w:val="0"/>
                <w:bCs/>
              </w:rPr>
              <w:t>Bachelor</w:t>
            </w:r>
            <w:proofErr w:type="spellEnd"/>
            <w:r w:rsidR="00AC2E0E" w:rsidRPr="00AC2E0E">
              <w:rPr>
                <w:b w:val="0"/>
                <w:bCs/>
              </w:rPr>
              <w:t xml:space="preserve"> </w:t>
            </w:r>
            <w:proofErr w:type="spellStart"/>
            <w:r w:rsidR="00AC2E0E" w:rsidRPr="00AC2E0E">
              <w:rPr>
                <w:b w:val="0"/>
                <w:bCs/>
              </w:rPr>
              <w:t>thesis</w:t>
            </w:r>
            <w:proofErr w:type="spellEnd"/>
            <w:r w:rsidR="00AC2E0E" w:rsidRPr="00AC2E0E">
              <w:rPr>
                <w:b w:val="0"/>
                <w:bCs/>
              </w:rPr>
              <w:t xml:space="preserve"> </w:t>
            </w:r>
            <w:proofErr w:type="spellStart"/>
            <w:r w:rsidR="00AC2E0E" w:rsidRPr="00AC2E0E">
              <w:rPr>
                <w:b w:val="0"/>
                <w:bCs/>
              </w:rPr>
              <w:t>defense</w:t>
            </w:r>
            <w:bookmarkEnd w:id="0"/>
            <w:proofErr w:type="spellEnd"/>
          </w:p>
        </w:tc>
      </w:tr>
      <w:tr w:rsidR="00046454" w14:paraId="02A6B47F" w14:textId="77777777" w:rsidTr="3FC1093A">
        <w:trPr>
          <w:trHeight w:val="558"/>
        </w:trPr>
        <w:tc>
          <w:tcPr>
            <w:tcW w:w="9322" w:type="dxa"/>
            <w:gridSpan w:val="2"/>
            <w:hideMark/>
          </w:tcPr>
          <w:p w14:paraId="79EAD7B0" w14:textId="77777777" w:rsidR="00046454" w:rsidRDefault="00AC2E0E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046454" w14:paraId="7D8CDF91" w14:textId="77777777" w:rsidTr="3FC1093A">
        <w:trPr>
          <w:trHeight w:val="286"/>
        </w:trPr>
        <w:tc>
          <w:tcPr>
            <w:tcW w:w="9322" w:type="dxa"/>
            <w:gridSpan w:val="2"/>
            <w:hideMark/>
          </w:tcPr>
          <w:p w14:paraId="160CC3CA" w14:textId="77777777" w:rsidR="00046454" w:rsidRDefault="00AC2E0E"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  <w:r>
              <w:t>10</w:t>
            </w:r>
          </w:p>
        </w:tc>
      </w:tr>
      <w:tr w:rsidR="00046454" w14:paraId="2A43C747" w14:textId="77777777" w:rsidTr="3FC1093A">
        <w:tc>
          <w:tcPr>
            <w:tcW w:w="9322" w:type="dxa"/>
            <w:gridSpan w:val="2"/>
            <w:hideMark/>
          </w:tcPr>
          <w:p w14:paraId="7091BDE1" w14:textId="77777777" w:rsidR="00046454" w:rsidRDefault="00AC2E0E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6th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046454" w14:paraId="64A3DBE3" w14:textId="77777777" w:rsidTr="3FC1093A">
        <w:tc>
          <w:tcPr>
            <w:tcW w:w="9322" w:type="dxa"/>
            <w:gridSpan w:val="2"/>
            <w:hideMark/>
          </w:tcPr>
          <w:p w14:paraId="72754D7D" w14:textId="77777777" w:rsidR="00046454" w:rsidRDefault="00AC2E0E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1.</w:t>
            </w:r>
          </w:p>
        </w:tc>
      </w:tr>
      <w:tr w:rsidR="00046454" w14:paraId="0A50A394" w14:textId="77777777" w:rsidTr="3FC1093A">
        <w:tc>
          <w:tcPr>
            <w:tcW w:w="9322" w:type="dxa"/>
            <w:gridSpan w:val="2"/>
            <w:hideMark/>
          </w:tcPr>
          <w:p w14:paraId="68D690F3" w14:textId="77777777" w:rsidR="00046454" w:rsidRDefault="00AC2E0E">
            <w:pPr>
              <w:rPr>
                <w:i/>
              </w:rPr>
            </w:pPr>
            <w:proofErr w:type="spellStart"/>
            <w:r>
              <w:rPr>
                <w:b/>
              </w:rPr>
              <w:t>Prerequisites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Obtain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credits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study part.</w:t>
            </w:r>
          </w:p>
        </w:tc>
      </w:tr>
      <w:tr w:rsidR="00046454" w14:paraId="50B0637D" w14:textId="77777777" w:rsidTr="3FC1093A">
        <w:tc>
          <w:tcPr>
            <w:tcW w:w="9322" w:type="dxa"/>
            <w:gridSpan w:val="2"/>
            <w:hideMark/>
          </w:tcPr>
          <w:p w14:paraId="402B2EBA" w14:textId="77777777" w:rsidR="00046454" w:rsidRDefault="00AC2E0E"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2D101C1A" w14:textId="77777777" w:rsidR="00046454" w:rsidRDefault="00AC2E0E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preparing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bachelor's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follows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>
              <w:t>nstructions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Directive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theses</w:t>
            </w:r>
            <w:proofErr w:type="spellEnd"/>
            <w:r>
              <w:t xml:space="preserve">,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bibliographic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  <w:r>
              <w:t xml:space="preserve">,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originality, </w:t>
            </w:r>
            <w:proofErr w:type="spellStart"/>
            <w:r>
              <w:t>storage</w:t>
            </w:r>
            <w:proofErr w:type="spellEnd"/>
            <w:r>
              <w:t xml:space="preserve"> and </w:t>
            </w:r>
            <w:proofErr w:type="spellStart"/>
            <w:r>
              <w:t>access</w:t>
            </w:r>
            <w:proofErr w:type="spellEnd"/>
            <w:r>
              <w:t xml:space="preserve"> </w:t>
            </w:r>
            <w:proofErr w:type="spellStart"/>
            <w:r>
              <w:t>issued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Presov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determined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workp</w:t>
            </w:r>
            <w:r>
              <w:t>lace</w:t>
            </w:r>
            <w:proofErr w:type="spellEnd"/>
            <w:r>
              <w:t xml:space="preserve">,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recommended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appendices</w:t>
            </w:r>
            <w:proofErr w:type="spellEnd"/>
            <w:r>
              <w:t xml:space="preserve"> (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introduction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end, </w:t>
            </w:r>
            <w:proofErr w:type="spellStart"/>
            <w:r>
              <w:t>inclusive</w:t>
            </w:r>
            <w:proofErr w:type="spellEnd"/>
            <w:r>
              <w:t xml:space="preserve">) 30 to 40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pages</w:t>
            </w:r>
            <w:proofErr w:type="spellEnd"/>
            <w:r>
              <w:t xml:space="preserve"> (54,000 - 72,000 </w:t>
            </w:r>
            <w:proofErr w:type="spellStart"/>
            <w:r>
              <w:t>characters</w:t>
            </w:r>
            <w:proofErr w:type="spellEnd"/>
            <w:r>
              <w:t xml:space="preserve">).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arrangement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are </w:t>
            </w:r>
            <w:proofErr w:type="spellStart"/>
            <w:r>
              <w:t>determined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Directive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requisites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theses</w:t>
            </w:r>
            <w:proofErr w:type="spellEnd"/>
            <w:r>
              <w:t xml:space="preserve"> in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variant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bachelor's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bound</w:t>
            </w:r>
            <w:proofErr w:type="spellEnd"/>
            <w:r>
              <w:t xml:space="preserve"> in </w:t>
            </w:r>
            <w:proofErr w:type="spellStart"/>
            <w:r>
              <w:t>hardcover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handed</w:t>
            </w:r>
            <w:proofErr w:type="spellEnd"/>
            <w:r>
              <w:t xml:space="preserve"> over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department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announced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submitting</w:t>
            </w:r>
            <w:proofErr w:type="spellEnd"/>
            <w:r>
              <w:t xml:space="preserve"> </w:t>
            </w:r>
            <w:proofErr w:type="spellStart"/>
            <w:r>
              <w:t>bachelor's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eses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set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schedule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>.</w:t>
            </w:r>
          </w:p>
          <w:p w14:paraId="53748844" w14:textId="77777777" w:rsidR="00046454" w:rsidRDefault="00AC2E0E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bachelor's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 xml:space="preserve"> in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printed</w:t>
            </w:r>
            <w:proofErr w:type="spellEnd"/>
            <w:r>
              <w:t xml:space="preserve"> </w:t>
            </w:r>
            <w:proofErr w:type="spellStart"/>
            <w:r>
              <w:t>copies</w:t>
            </w:r>
            <w:proofErr w:type="spellEnd"/>
            <w:r>
              <w:t xml:space="preserve">,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electronic</w:t>
            </w:r>
            <w:proofErr w:type="spellEnd"/>
            <w:r>
              <w:t xml:space="preserve"> </w:t>
            </w:r>
            <w:proofErr w:type="spellStart"/>
            <w:r>
              <w:t>version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identical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printed</w:t>
            </w:r>
            <w:proofErr w:type="spellEnd"/>
            <w:r>
              <w:t xml:space="preserve"> </w:t>
            </w:r>
            <w:proofErr w:type="spellStart"/>
            <w:r>
              <w:t>version</w:t>
            </w:r>
            <w:proofErr w:type="spellEnd"/>
            <w:r>
              <w:t xml:space="preserve">,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entered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theses</w:t>
            </w:r>
            <w:proofErr w:type="spellEnd"/>
            <w:r>
              <w:t xml:space="preserve"> in PDF </w:t>
            </w:r>
            <w:proofErr w:type="spellStart"/>
            <w:r>
              <w:t>format</w:t>
            </w:r>
            <w:proofErr w:type="spellEnd"/>
            <w:r>
              <w:t xml:space="preserve">, no </w:t>
            </w:r>
            <w:proofErr w:type="spellStart"/>
            <w:r>
              <w:t>later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seven</w:t>
            </w:r>
            <w:proofErr w:type="spellEnd"/>
            <w:r>
              <w:t xml:space="preserve"> </w:t>
            </w:r>
            <w:proofErr w:type="spellStart"/>
            <w:r>
              <w:t>days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submission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printed</w:t>
            </w:r>
            <w:proofErr w:type="spellEnd"/>
            <w:r>
              <w:t xml:space="preserve"> </w:t>
            </w:r>
            <w:proofErr w:type="spellStart"/>
            <w:r>
              <w:t>version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originality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assessed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central</w:t>
            </w:r>
            <w:proofErr w:type="spellEnd"/>
            <w:r>
              <w:t xml:space="preserve"> register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theses</w:t>
            </w:r>
            <w:proofErr w:type="spellEnd"/>
            <w:r>
              <w:t xml:space="preserve">. A report on </w:t>
            </w:r>
            <w:proofErr w:type="spellStart"/>
            <w:r>
              <w:t>the</w:t>
            </w:r>
            <w:proofErr w:type="spellEnd"/>
            <w:r>
              <w:t xml:space="preserve"> originality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prepared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origin</w:t>
            </w:r>
            <w:r>
              <w:t xml:space="preserve">ality </w:t>
            </w:r>
            <w:proofErr w:type="spellStart"/>
            <w:r>
              <w:t>check</w:t>
            </w:r>
            <w:proofErr w:type="spellEnd"/>
            <w:r>
              <w:t xml:space="preserve">.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originality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defense</w:t>
            </w:r>
            <w:proofErr w:type="spellEnd"/>
            <w:r>
              <w:t xml:space="preserve">.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overlap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trainer</w:t>
            </w:r>
            <w:proofErr w:type="spellEnd"/>
            <w:r>
              <w:t xml:space="preserve"> </w:t>
            </w:r>
            <w:proofErr w:type="spellStart"/>
            <w:r>
              <w:t>decides</w:t>
            </w:r>
            <w:proofErr w:type="spellEnd"/>
            <w:r>
              <w:t xml:space="preserve"> </w:t>
            </w:r>
            <w:proofErr w:type="spellStart"/>
            <w:r>
              <w:t>whether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defense</w:t>
            </w:r>
            <w:proofErr w:type="spellEnd"/>
            <w:r>
              <w:t xml:space="preserve">. </w:t>
            </w:r>
          </w:p>
          <w:p w14:paraId="76CF4C1C" w14:textId="77777777" w:rsidR="00046454" w:rsidRDefault="00AC2E0E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>
              <w:t xml:space="preserve">Part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transfer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conclusion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license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copy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Slovak </w:t>
            </w:r>
            <w:proofErr w:type="spellStart"/>
            <w:r>
              <w:t>Republic</w:t>
            </w:r>
            <w:proofErr w:type="spellEnd"/>
            <w:r>
              <w:t xml:space="preserve"> on </w:t>
            </w:r>
            <w:proofErr w:type="spellStart"/>
            <w:r>
              <w:t>behalf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.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inserting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r>
              <w:t>mediately</w:t>
            </w:r>
            <w:proofErr w:type="spellEnd"/>
            <w:r>
              <w:t xml:space="preserve"> </w:t>
            </w:r>
            <w:proofErr w:type="spellStart"/>
            <w:r>
              <w:t>submits</w:t>
            </w:r>
            <w:proofErr w:type="spellEnd"/>
            <w:r>
              <w:t xml:space="preserve"> a </w:t>
            </w:r>
            <w:proofErr w:type="spellStart"/>
            <w:r>
              <w:t>draft</w:t>
            </w:r>
            <w:proofErr w:type="spellEnd"/>
            <w:r>
              <w:t xml:space="preserve"> </w:t>
            </w:r>
            <w:proofErr w:type="spellStart"/>
            <w:r>
              <w:t>license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signed</w:t>
            </w:r>
            <w:proofErr w:type="spellEnd"/>
            <w:r>
              <w:t xml:space="preserve"> by </w:t>
            </w:r>
            <w:proofErr w:type="spellStart"/>
            <w:r>
              <w:t>him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workplace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signed</w:t>
            </w:r>
            <w:proofErr w:type="spellEnd"/>
            <w:r>
              <w:t xml:space="preserve"> by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authorized</w:t>
            </w:r>
            <w:proofErr w:type="spellEnd"/>
            <w:r>
              <w:t xml:space="preserve"> </w:t>
            </w:r>
            <w:proofErr w:type="spellStart"/>
            <w:r>
              <w:t>representative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workplace</w:t>
            </w:r>
            <w:proofErr w:type="spellEnd"/>
            <w:r>
              <w:t xml:space="preserve">) </w:t>
            </w:r>
            <w:proofErr w:type="spellStart"/>
            <w:r>
              <w:t>within</w:t>
            </w:r>
            <w:proofErr w:type="spellEnd"/>
            <w:r>
              <w:t xml:space="preserve"> 30 </w:t>
            </w:r>
            <w:proofErr w:type="spellStart"/>
            <w:r>
              <w:t>days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sending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central</w:t>
            </w:r>
            <w:proofErr w:type="spellEnd"/>
            <w:r>
              <w:t xml:space="preserve"> register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>
              <w:t>inal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>.</w:t>
            </w:r>
          </w:p>
          <w:p w14:paraId="24F6EAC5" w14:textId="77777777" w:rsidR="00046454" w:rsidRDefault="00AC2E0E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bachelor's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assessed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opponent</w:t>
            </w:r>
            <w:proofErr w:type="spellEnd"/>
            <w:r>
              <w:t xml:space="preserve">,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prepares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assessments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set </w:t>
            </w:r>
            <w:proofErr w:type="spellStart"/>
            <w:r>
              <w:t>criteria</w:t>
            </w:r>
            <w:proofErr w:type="spellEnd"/>
            <w:r>
              <w:t xml:space="preserve">. </w:t>
            </w:r>
          </w:p>
          <w:p w14:paraId="78CDF674" w14:textId="77777777" w:rsidR="00046454" w:rsidRDefault="00AC2E0E">
            <w:pPr>
              <w:jc w:val="both"/>
              <w:rPr>
                <w:color w:val="000000" w:themeColor="text1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state </w:t>
            </w:r>
            <w:proofErr w:type="spellStart"/>
            <w:r>
              <w:t>examinations</w:t>
            </w:r>
            <w:proofErr w:type="spellEnd"/>
            <w:r>
              <w:t xml:space="preserve"> in a </w:t>
            </w:r>
            <w:proofErr w:type="spellStart"/>
            <w:r>
              <w:t>closed</w:t>
            </w:r>
            <w:proofErr w:type="spellEnd"/>
            <w:r>
              <w:t xml:space="preserve"> 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defense</w:t>
            </w:r>
            <w:proofErr w:type="spellEnd"/>
            <w:r>
              <w:t xml:space="preserve"> and </w:t>
            </w:r>
            <w:proofErr w:type="spellStart"/>
            <w:r>
              <w:t>decide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classification</w:t>
            </w:r>
            <w:proofErr w:type="spellEnd"/>
            <w:r>
              <w:t xml:space="preserve">.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classification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comprehensively</w:t>
            </w:r>
            <w:proofErr w:type="spellEnd"/>
            <w:r>
              <w:t xml:space="preserve"> </w:t>
            </w:r>
            <w:proofErr w:type="spellStart"/>
            <w:r>
              <w:t>assesses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defense</w:t>
            </w:r>
            <w:proofErr w:type="spellEnd"/>
            <w:r>
              <w:t xml:space="preserve">, </w:t>
            </w: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opinions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defense</w:t>
            </w:r>
            <w:proofErr w:type="spellEnd"/>
            <w:r>
              <w:t xml:space="preserve">, and </w:t>
            </w:r>
            <w:proofErr w:type="spellStart"/>
            <w:r>
              <w:t>evaluates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mark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opinions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bette</w:t>
            </w:r>
            <w:proofErr w:type="spellEnd"/>
            <w:r>
              <w:t xml:space="preserve"> or </w:t>
            </w:r>
            <w:proofErr w:type="spellStart"/>
            <w:r>
              <w:t>worse</w:t>
            </w:r>
            <w:proofErr w:type="spellEnd"/>
            <w:r>
              <w:t xml:space="preserve">, </w:t>
            </w:r>
            <w:proofErr w:type="spellStart"/>
            <w:r>
              <w:t>depending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defense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defense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announced</w:t>
            </w:r>
            <w:proofErr w:type="spellEnd"/>
            <w:r>
              <w:t xml:space="preserve"> </w:t>
            </w:r>
            <w:proofErr w:type="spellStart"/>
            <w:r>
              <w:t>publicly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chairman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state </w:t>
            </w:r>
            <w:proofErr w:type="spellStart"/>
            <w:r>
              <w:t>fina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>.</w:t>
            </w:r>
            <w:r>
              <w:rPr>
                <w:rStyle w:val="ZkladntextTun"/>
                <w:rFonts w:cs="Bookman Old Style"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046454" w14:paraId="40A93978" w14:textId="77777777" w:rsidTr="3FC1093A">
        <w:tc>
          <w:tcPr>
            <w:tcW w:w="9322" w:type="dxa"/>
            <w:gridSpan w:val="2"/>
            <w:hideMark/>
          </w:tcPr>
          <w:p w14:paraId="40354718" w14:textId="77777777" w:rsidR="00046454" w:rsidRDefault="3FC1093A" w:rsidP="3FC1093A">
            <w:pPr>
              <w:pStyle w:val="P68B1DB1-Normlny1"/>
              <w:rPr>
                <w:bCs/>
              </w:rPr>
            </w:pPr>
            <w:proofErr w:type="spellStart"/>
            <w:r w:rsidRPr="3FC1093A">
              <w:rPr>
                <w:bCs/>
              </w:rPr>
              <w:t>Learning</w:t>
            </w:r>
            <w:proofErr w:type="spellEnd"/>
            <w:r w:rsidRPr="3FC1093A">
              <w:rPr>
                <w:bCs/>
              </w:rPr>
              <w:t xml:space="preserve"> </w:t>
            </w:r>
            <w:proofErr w:type="spellStart"/>
            <w:r w:rsidRPr="3FC1093A">
              <w:rPr>
                <w:bCs/>
              </w:rPr>
              <w:t>outcomes</w:t>
            </w:r>
            <w:proofErr w:type="spellEnd"/>
            <w:r w:rsidRPr="3FC1093A">
              <w:rPr>
                <w:bCs/>
              </w:rPr>
              <w:t>:</w:t>
            </w:r>
          </w:p>
          <w:p w14:paraId="6A8028C4" w14:textId="77777777" w:rsidR="00046454" w:rsidRDefault="00AC2E0E">
            <w:pPr>
              <w:pStyle w:val="Zkladntext2"/>
              <w:shd w:val="clear" w:color="auto" w:fill="auto"/>
              <w:spacing w:before="0" w:after="0" w:line="240" w:lineRule="auto"/>
              <w:rPr>
                <w:rStyle w:val="ZkladntextTun"/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Style w:val="ZkladntextTun"/>
                <w:rFonts w:ascii="Times New Roman" w:hAnsi="Times New Roman" w:cs="Times New Roman"/>
                <w:sz w:val="24"/>
              </w:rPr>
              <w:t>After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sz w:val="24"/>
              </w:rPr>
              <w:t>completing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sz w:val="24"/>
              </w:rPr>
              <w:t>course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sz w:val="24"/>
              </w:rPr>
              <w:t>student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sz w:val="24"/>
              </w:rPr>
              <w:t>will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sz w:val="24"/>
              </w:rPr>
              <w:t>have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sz w:val="24"/>
              </w:rPr>
              <w:t>ability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sz w:val="24"/>
              </w:rPr>
              <w:t xml:space="preserve"> to:</w:t>
            </w:r>
          </w:p>
          <w:p w14:paraId="52136919" w14:textId="77777777" w:rsidR="00046454" w:rsidRDefault="00AC2E0E">
            <w:pPr>
              <w:pStyle w:val="Zkladntext2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Style w:val="Zkladntext1"/>
                <w:rFonts w:ascii="Times New Roman" w:hAnsi="Times New Roman" w:cs="Times New Roman"/>
                <w:sz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</w:rPr>
              <w:lastRenderedPageBreak/>
              <w:t xml:space="preserve">in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cognitive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area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student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can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>:</w:t>
            </w:r>
          </w:p>
          <w:p w14:paraId="23D53E8C" w14:textId="77777777" w:rsidR="00046454" w:rsidRDefault="00AC2E0E">
            <w:pPr>
              <w:pStyle w:val="Zkladntext2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Zkladntext1"/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use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professional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sources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independently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creatively</w:t>
            </w:r>
            <w:proofErr w:type="spellEnd"/>
          </w:p>
          <w:p w14:paraId="38172F32" w14:textId="77777777" w:rsidR="00046454" w:rsidRDefault="00AC2E0E">
            <w:pPr>
              <w:pStyle w:val="Zkladntext2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Zkladntext1"/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analyze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evaluate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current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state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of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problem</w:t>
            </w:r>
            <w:proofErr w:type="spellEnd"/>
          </w:p>
          <w:p w14:paraId="3FD96F1B" w14:textId="77777777" w:rsidR="00046454" w:rsidRDefault="00AC2E0E">
            <w:pPr>
              <w:pStyle w:val="Zkladntext2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Zkladntext1"/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synthesize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apply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acquired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theoretical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knowledge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bachelor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thesis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</w:p>
          <w:p w14:paraId="617F9067" w14:textId="77777777" w:rsidR="00046454" w:rsidRDefault="00AC2E0E">
            <w:pPr>
              <w:pStyle w:val="Zkladntext2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rStyle w:val="Zkladntext1"/>
                <w:rFonts w:ascii="Times New Roman" w:hAnsi="Times New Roman" w:cs="Times New Roman"/>
                <w:sz w:val="24"/>
              </w:rPr>
            </w:pPr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in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affective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area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student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Zkladntext1"/>
                <w:rFonts w:ascii="Times New Roman" w:hAnsi="Times New Roman" w:cs="Times New Roman"/>
                <w:sz w:val="24"/>
              </w:rPr>
              <w:t>can</w:t>
            </w:r>
            <w:proofErr w:type="spellEnd"/>
            <w:r>
              <w:rPr>
                <w:rStyle w:val="Zkladntext1"/>
                <w:rFonts w:ascii="Times New Roman" w:hAnsi="Times New Roman" w:cs="Times New Roman"/>
                <w:sz w:val="24"/>
              </w:rPr>
              <w:t>:</w:t>
            </w:r>
          </w:p>
          <w:p w14:paraId="134B80E5" w14:textId="77777777" w:rsidR="00046454" w:rsidRDefault="00AC2E0E">
            <w:pPr>
              <w:pStyle w:val="P68B1DB1-Zkladntext22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rPr>
                <w:rStyle w:val="Zkladntext1"/>
                <w:rFonts w:ascii="Times New Roman" w:hAnsi="Times New Roman"/>
                <w:sz w:val="24"/>
              </w:rPr>
            </w:pPr>
            <w:proofErr w:type="spellStart"/>
            <w:r>
              <w:t>present</w:t>
            </w:r>
            <w:proofErr w:type="spellEnd"/>
            <w:r>
              <w:t xml:space="preserve"> and </w:t>
            </w:r>
            <w:proofErr w:type="spellStart"/>
            <w:r>
              <w:t>defend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  <w:r>
              <w:t xml:space="preserve"> in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contribution</w:t>
            </w:r>
            <w:proofErr w:type="spellEnd"/>
            <w:r>
              <w:t xml:space="preserve"> </w:t>
            </w:r>
          </w:p>
          <w:p w14:paraId="32051DDD" w14:textId="77777777" w:rsidR="00046454" w:rsidRDefault="00AC2E0E">
            <w:pPr>
              <w:pStyle w:val="Odsekzoznamu"/>
              <w:numPr>
                <w:ilvl w:val="0"/>
                <w:numId w:val="1"/>
              </w:numPr>
            </w:pP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psychomotor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rPr>
                <w:rStyle w:val="Zkladntext1"/>
                <w:i w:val="0"/>
              </w:rPr>
              <w:t>student</w:t>
            </w:r>
            <w:proofErr w:type="spellEnd"/>
            <w:r>
              <w:rPr>
                <w:rStyle w:val="Zkladntext1"/>
                <w:i w:val="0"/>
              </w:rPr>
              <w:t xml:space="preserve"> </w:t>
            </w:r>
            <w:proofErr w:type="spellStart"/>
            <w:r>
              <w:rPr>
                <w:rStyle w:val="Zkladntext1"/>
                <w:i w:val="0"/>
              </w:rPr>
              <w:t>can</w:t>
            </w:r>
            <w:proofErr w:type="spellEnd"/>
            <w:r>
              <w:rPr>
                <w:rStyle w:val="Zkladntext1"/>
                <w:i w:val="0"/>
              </w:rPr>
              <w:t>:</w:t>
            </w:r>
          </w:p>
          <w:p w14:paraId="17B35D86" w14:textId="77777777" w:rsidR="00046454" w:rsidRDefault="00AC2E0E">
            <w:pPr>
              <w:rPr>
                <w:i/>
              </w:rPr>
            </w:pPr>
            <w:proofErr w:type="spellStart"/>
            <w:r>
              <w:t>expre</w:t>
            </w:r>
            <w:r>
              <w:t>ss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linguistic</w:t>
            </w:r>
            <w:proofErr w:type="spellEnd"/>
            <w:r>
              <w:t xml:space="preserve"> and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and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attitude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.</w:t>
            </w:r>
            <w:r>
              <w:rPr>
                <w:i/>
              </w:rPr>
              <w:t xml:space="preserve">  </w:t>
            </w:r>
          </w:p>
        </w:tc>
      </w:tr>
      <w:tr w:rsidR="00046454" w14:paraId="3D8DB1BD" w14:textId="77777777" w:rsidTr="3FC1093A">
        <w:tc>
          <w:tcPr>
            <w:tcW w:w="9322" w:type="dxa"/>
            <w:gridSpan w:val="2"/>
            <w:hideMark/>
          </w:tcPr>
          <w:p w14:paraId="22917055" w14:textId="77777777" w:rsidR="00046454" w:rsidRDefault="00AC2E0E">
            <w:proofErr w:type="spellStart"/>
            <w:r>
              <w:rPr>
                <w:b/>
              </w:rPr>
              <w:lastRenderedPageBreak/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2BED63FE" w14:textId="77777777" w:rsidR="00046454" w:rsidRDefault="00AC2E0E">
            <w:pPr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defense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bachelor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has a </w:t>
            </w:r>
            <w:proofErr w:type="spellStart"/>
            <w:r>
              <w:t>stable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>:</w:t>
            </w:r>
          </w:p>
          <w:p w14:paraId="4B310599" w14:textId="77777777" w:rsidR="00046454" w:rsidRDefault="00AC2E0E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Introductory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,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>.</w:t>
            </w:r>
          </w:p>
          <w:p w14:paraId="2B6DEFA9" w14:textId="77777777" w:rsidR="00046454" w:rsidRDefault="00AC2E0E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opinions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opponent</w:t>
            </w:r>
            <w:proofErr w:type="spellEnd"/>
            <w:r>
              <w:t>.</w:t>
            </w:r>
          </w:p>
          <w:p w14:paraId="67F6B196" w14:textId="77777777" w:rsidR="00046454" w:rsidRDefault="00AC2E0E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Answer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opponent</w:t>
            </w:r>
            <w:proofErr w:type="spellEnd"/>
            <w:r>
              <w:t>.</w:t>
            </w:r>
          </w:p>
          <w:p w14:paraId="7F9D6DCC" w14:textId="77777777" w:rsidR="00046454" w:rsidRDefault="00AC2E0E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>
              <w:t>Exp</w:t>
            </w:r>
            <w:r>
              <w:t xml:space="preserve">ert </w:t>
            </w:r>
            <w:proofErr w:type="spellStart"/>
            <w:r>
              <w:t>discussion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bachelor's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>.</w:t>
            </w:r>
          </w:p>
          <w:p w14:paraId="0A37501D" w14:textId="77777777" w:rsidR="00046454" w:rsidRDefault="00046454">
            <w:pPr>
              <w:jc w:val="both"/>
            </w:pPr>
          </w:p>
          <w:p w14:paraId="7C8B2CBD" w14:textId="77777777" w:rsidR="00046454" w:rsidRDefault="00AC2E0E">
            <w:pPr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bachelor's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defense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introductory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contain</w:t>
            </w:r>
            <w:proofErr w:type="spellEnd"/>
            <w:r>
              <w:t xml:space="preserve"> in </w:t>
            </w:r>
            <w:proofErr w:type="spellStart"/>
            <w:r>
              <w:t>particular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>:</w:t>
            </w:r>
          </w:p>
          <w:p w14:paraId="093EC2DA" w14:textId="77777777" w:rsidR="00046454" w:rsidRDefault="00AC2E0E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Brief</w:t>
            </w:r>
            <w:proofErr w:type="spellEnd"/>
            <w:r>
              <w:t xml:space="preserve"> </w:t>
            </w:r>
            <w:proofErr w:type="spellStart"/>
            <w:r>
              <w:t>reasoning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choice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topi</w:t>
            </w:r>
            <w:r>
              <w:t>c</w:t>
            </w:r>
            <w:proofErr w:type="spellEnd"/>
            <w:r>
              <w:t xml:space="preserve">,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topicality</w:t>
            </w:r>
            <w:proofErr w:type="spellEnd"/>
            <w:r>
              <w:t xml:space="preserve">,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benefits</w:t>
            </w:r>
            <w:proofErr w:type="spellEnd"/>
            <w:r>
              <w:t>.</w:t>
            </w:r>
          </w:p>
          <w:p w14:paraId="4FCE2E95" w14:textId="77777777" w:rsidR="00046454" w:rsidRDefault="00AC2E0E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Clarification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goals</w:t>
            </w:r>
            <w:proofErr w:type="spellEnd"/>
            <w:r>
              <w:t xml:space="preserve"> and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in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>.</w:t>
            </w:r>
          </w:p>
          <w:p w14:paraId="56C1E076" w14:textId="77777777" w:rsidR="00046454" w:rsidRDefault="00AC2E0E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.</w:t>
            </w:r>
          </w:p>
          <w:p w14:paraId="4ACA3ED9" w14:textId="77777777" w:rsidR="00046454" w:rsidRDefault="00AC2E0E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Conclusions</w:t>
            </w:r>
            <w:proofErr w:type="spellEnd"/>
            <w:r>
              <w:t xml:space="preserve"> and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recommendations</w:t>
            </w:r>
            <w:proofErr w:type="spellEnd"/>
            <w:r>
              <w:t xml:space="preserve"> </w:t>
            </w:r>
            <w:proofErr w:type="spellStart"/>
            <w:r>
              <w:t>reached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.</w:t>
            </w:r>
          </w:p>
          <w:p w14:paraId="21AE5A62" w14:textId="77777777" w:rsidR="00046454" w:rsidRDefault="00AC2E0E"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has </w:t>
            </w:r>
            <w:proofErr w:type="spellStart"/>
            <w:r>
              <w:t>his</w:t>
            </w:r>
            <w:proofErr w:type="spellEnd"/>
            <w:r>
              <w:t xml:space="preserve"> / 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copy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bachelor's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, or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introductory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prepared</w:t>
            </w:r>
            <w:proofErr w:type="spellEnd"/>
            <w:r>
              <w:t xml:space="preserve"> in </w:t>
            </w:r>
            <w:proofErr w:type="spellStart"/>
            <w:r>
              <w:t>writing</w:t>
            </w:r>
            <w:proofErr w:type="spellEnd"/>
            <w:r>
              <w:t xml:space="preserve">.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.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introductory</w:t>
            </w:r>
            <w:proofErr w:type="spellEnd"/>
            <w:r>
              <w:t xml:space="preserve"> </w:t>
            </w:r>
            <w:proofErr w:type="spellStart"/>
            <w:r>
              <w:t>performance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,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exceeding</w:t>
            </w:r>
            <w:proofErr w:type="spellEnd"/>
            <w:r>
              <w:t xml:space="preserve"> 10 </w:t>
            </w:r>
            <w:proofErr w:type="spellStart"/>
            <w:r>
              <w:t>minutes</w:t>
            </w:r>
            <w:proofErr w:type="spellEnd"/>
            <w:r>
              <w:t>.</w:t>
            </w:r>
          </w:p>
        </w:tc>
      </w:tr>
      <w:tr w:rsidR="00046454" w14:paraId="04FE2443" w14:textId="77777777" w:rsidTr="3FC1093A">
        <w:tc>
          <w:tcPr>
            <w:tcW w:w="9322" w:type="dxa"/>
            <w:gridSpan w:val="2"/>
            <w:hideMark/>
          </w:tcPr>
          <w:p w14:paraId="68ACDB07" w14:textId="77777777" w:rsidR="00046454" w:rsidRDefault="00AC2E0E">
            <w:pPr>
              <w:pStyle w:val="P68B1DB1-Normlny1"/>
            </w:pPr>
            <w:proofErr w:type="spellStart"/>
            <w:r>
              <w:t>R</w:t>
            </w:r>
            <w:r>
              <w:t>ecommended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>:</w:t>
            </w:r>
          </w:p>
          <w:p w14:paraId="2FEE99BF" w14:textId="77777777" w:rsidR="00046454" w:rsidRDefault="00AC2E0E">
            <w:pPr>
              <w:jc w:val="both"/>
            </w:pPr>
            <w:r>
              <w:t xml:space="preserve">GAVORA, P., 1999. Úvod do pedagogického výskumu. Bratislava: Univerzita Komenského. </w:t>
            </w:r>
          </w:p>
          <w:p w14:paraId="0F265457" w14:textId="77777777" w:rsidR="00046454" w:rsidRDefault="00AC2E0E">
            <w:pPr>
              <w:jc w:val="both"/>
            </w:pPr>
            <w:r>
              <w:t xml:space="preserve">GONDA, V.: Ako napísať a úspešne obhájiť diplomovú prácu. Bratislava: </w:t>
            </w:r>
            <w:proofErr w:type="spellStart"/>
            <w:r>
              <w:t>Iura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, </w:t>
            </w:r>
            <w:proofErr w:type="spellStart"/>
            <w:r>
              <w:t>spol.s.r.o</w:t>
            </w:r>
            <w:proofErr w:type="spellEnd"/>
            <w:r>
              <w:t xml:space="preserve">. </w:t>
            </w:r>
          </w:p>
          <w:p w14:paraId="63AC1982" w14:textId="77777777" w:rsidR="00046454" w:rsidRDefault="00AC2E0E">
            <w:pPr>
              <w:jc w:val="both"/>
            </w:pPr>
            <w:r>
              <w:rPr>
                <w:caps/>
              </w:rPr>
              <w:t xml:space="preserve">Katuščák, D., 1998. </w:t>
            </w:r>
            <w:r>
              <w:t xml:space="preserve">Ako písať vysokoškolské a kvalifikačné práce. Ako písať seminárne práce, ročníkové práce, práce ŠVOČ, diplomové práce, záverečné a atestačné práce a dizertácie.  Bratislava: Stimul. </w:t>
            </w:r>
          </w:p>
          <w:p w14:paraId="7C4577C6" w14:textId="77777777" w:rsidR="00046454" w:rsidRDefault="00AC2E0E">
            <w:pPr>
              <w:jc w:val="both"/>
            </w:pPr>
            <w:r>
              <w:t xml:space="preserve">ŠVEC, Š. a kol., 1998. Metodológia vied o výchove. Bratislava: IRIS. </w:t>
            </w:r>
          </w:p>
          <w:p w14:paraId="56E181A1" w14:textId="77777777" w:rsidR="00046454" w:rsidRDefault="00AC2E0E">
            <w:pPr>
              <w:jc w:val="both"/>
              <w:rPr>
                <w:b/>
              </w:rPr>
            </w:pPr>
            <w:r>
              <w:t>VIŠ</w:t>
            </w:r>
            <w:r>
              <w:t>ŇOVSKÝ, Ľ., ZOLYOMIOVÁ, P., BRINCKOVÁ, J., 2007. Metodika diplomovej práce. Smernica o náležitostiach záverečných prác, ich bibliografickej registrácii, kontrole originality, uchovávaní a sprístupňovaní.[</w:t>
            </w:r>
            <w:proofErr w:type="spellStart"/>
            <w:r>
              <w:t>online</w:t>
            </w:r>
            <w:proofErr w:type="spellEnd"/>
            <w:r>
              <w:t>]. Prešov: PU. [cit.26.3.2014]. Dostupné z: ht</w:t>
            </w:r>
            <w:r>
              <w:t>tp://www.pulib.sk/web/data/pulib/subory/stranka/ezp-smernica-2013.pdf</w:t>
            </w:r>
          </w:p>
        </w:tc>
      </w:tr>
      <w:tr w:rsidR="00046454" w14:paraId="16EAF0F4" w14:textId="77777777" w:rsidTr="3FC1093A">
        <w:tc>
          <w:tcPr>
            <w:tcW w:w="9322" w:type="dxa"/>
            <w:gridSpan w:val="2"/>
            <w:hideMark/>
          </w:tcPr>
          <w:p w14:paraId="4765EC3E" w14:textId="77777777" w:rsidR="00046454" w:rsidRDefault="00AC2E0E"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08806E5B" w14:textId="77777777" w:rsidR="00046454" w:rsidRDefault="00AC2E0E"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046454" w14:paraId="6F6870AB" w14:textId="77777777" w:rsidTr="3FC1093A">
        <w:tc>
          <w:tcPr>
            <w:tcW w:w="9322" w:type="dxa"/>
            <w:gridSpan w:val="2"/>
            <w:hideMark/>
          </w:tcPr>
          <w:p w14:paraId="7533B424" w14:textId="77777777" w:rsidR="00046454" w:rsidRDefault="00AC2E0E">
            <w:r>
              <w:rPr>
                <w:b/>
              </w:rPr>
              <w:t>Notes:</w:t>
            </w:r>
            <w:r>
              <w:t xml:space="preserve"> </w:t>
            </w:r>
          </w:p>
          <w:p w14:paraId="24550159" w14:textId="43936146" w:rsidR="00046454" w:rsidRDefault="3FC1093A" w:rsidP="3FC1093A">
            <w:pPr>
              <w:pStyle w:val="Zkladntext2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jc w:val="both"/>
              <w:rPr>
                <w:rStyle w:val="ZkladntextTun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3FC1093A">
              <w:rPr>
                <w:rStyle w:val="ZkladntextTun"/>
                <w:rFonts w:ascii="Times New Roman" w:hAnsi="Times New Roman" w:cs="Times New Roman"/>
                <w:b w:val="0"/>
                <w:sz w:val="24"/>
                <w:szCs w:val="24"/>
              </w:rPr>
              <w:t>compulsory</w:t>
            </w:r>
            <w:proofErr w:type="spellEnd"/>
            <w:r w:rsidRPr="3FC1093A">
              <w:rPr>
                <w:rStyle w:val="ZkladntextTun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3FC1093A">
              <w:rPr>
                <w:rStyle w:val="ZkladntextTun"/>
                <w:rFonts w:ascii="Times New Roman" w:hAnsi="Times New Roman" w:cs="Times New Roman"/>
                <w:b w:val="0"/>
                <w:sz w:val="24"/>
                <w:szCs w:val="24"/>
              </w:rPr>
              <w:t>unit</w:t>
            </w:r>
            <w:proofErr w:type="spellEnd"/>
          </w:p>
          <w:p w14:paraId="67B9FAF2" w14:textId="77777777" w:rsidR="00046454" w:rsidRDefault="00AC2E0E">
            <w:pPr>
              <w:pStyle w:val="Zkladntext2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>the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>student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>chooses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>the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>course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>only</w:t>
            </w:r>
            <w:proofErr w:type="spellEnd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Style w:val="ZkladntextTun"/>
                <w:rFonts w:ascii="Times New Roman" w:hAnsi="Times New Roman" w:cs="Times New Roman"/>
                <w:b w:val="0"/>
                <w:sz w:val="24"/>
              </w:rPr>
              <w:t>once</w:t>
            </w:r>
            <w:proofErr w:type="spellEnd"/>
          </w:p>
        </w:tc>
      </w:tr>
      <w:tr w:rsidR="00046454" w14:paraId="0704B87D" w14:textId="77777777" w:rsidTr="3FC1093A">
        <w:tc>
          <w:tcPr>
            <w:tcW w:w="9322" w:type="dxa"/>
            <w:gridSpan w:val="2"/>
            <w:hideMark/>
          </w:tcPr>
          <w:p w14:paraId="12CEC339" w14:textId="77777777" w:rsidR="00046454" w:rsidRDefault="3FC1093A" w:rsidP="3FC1093A">
            <w:pPr>
              <w:pStyle w:val="P68B1DB1-Normlny1"/>
              <w:rPr>
                <w:bCs/>
              </w:rPr>
            </w:pPr>
            <w:proofErr w:type="spellStart"/>
            <w:r w:rsidRPr="3FC1093A">
              <w:rPr>
                <w:bCs/>
              </w:rPr>
              <w:t>Course</w:t>
            </w:r>
            <w:proofErr w:type="spellEnd"/>
            <w:r w:rsidRPr="3FC1093A">
              <w:rPr>
                <w:bCs/>
              </w:rPr>
              <w:t xml:space="preserve"> </w:t>
            </w:r>
            <w:proofErr w:type="spellStart"/>
            <w:r w:rsidRPr="3FC1093A">
              <w:rPr>
                <w:bCs/>
              </w:rPr>
              <w:t>evaluation</w:t>
            </w:r>
            <w:proofErr w:type="spellEnd"/>
          </w:p>
          <w:p w14:paraId="528ACCE7" w14:textId="77777777" w:rsidR="00046454" w:rsidRDefault="00AC2E0E">
            <w:pPr>
              <w:pStyle w:val="P68B1DB1-Normlny3"/>
            </w:pP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12</w:t>
            </w:r>
          </w:p>
          <w:tbl>
            <w:tblPr>
              <w:tblStyle w:val="Mriekatabuky"/>
              <w:tblW w:w="0" w:type="auto"/>
              <w:tblLook w:val="00A0" w:firstRow="1" w:lastRow="0" w:firstColumn="1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046454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6D17B" w14:textId="77777777" w:rsidR="00046454" w:rsidRDefault="00AC2E0E">
                  <w:pPr>
                    <w:pStyle w:val="P68B1DB1-Normlny3"/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D4E73" w14:textId="77777777" w:rsidR="00046454" w:rsidRDefault="00AC2E0E">
                  <w:pPr>
                    <w:pStyle w:val="P68B1DB1-Normlny3"/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AF844" w14:textId="77777777" w:rsidR="00046454" w:rsidRDefault="00AC2E0E">
                  <w:pPr>
                    <w:pStyle w:val="P68B1DB1-Normlny3"/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40529" w14:textId="77777777" w:rsidR="00046454" w:rsidRDefault="00AC2E0E">
                  <w:pPr>
                    <w:pStyle w:val="P68B1DB1-Normlny3"/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EDD99" w14:textId="77777777" w:rsidR="00046454" w:rsidRDefault="00AC2E0E">
                  <w:pPr>
                    <w:pStyle w:val="P68B1DB1-Normlny3"/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770C9" w14:textId="77777777" w:rsidR="00046454" w:rsidRDefault="00AC2E0E">
                  <w:pPr>
                    <w:pStyle w:val="P68B1DB1-Normlny3"/>
                    <w:jc w:val="center"/>
                  </w:pPr>
                  <w:r>
                    <w:t>FX</w:t>
                  </w:r>
                </w:p>
              </w:tc>
            </w:tr>
            <w:tr w:rsidR="00046454" w14:paraId="302DC7B6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D2E442" w14:textId="77777777" w:rsidR="00046454" w:rsidRDefault="00AC2E0E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>42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D3085" w14:textId="77777777" w:rsidR="00046454" w:rsidRDefault="00AC2E0E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 xml:space="preserve">  42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BA2CB" w14:textId="77777777" w:rsidR="00046454" w:rsidRDefault="00AC2E0E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 xml:space="preserve">   8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8CD0E4" w14:textId="77777777" w:rsidR="00046454" w:rsidRDefault="00AC2E0E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 xml:space="preserve">   0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14B93" w14:textId="77777777" w:rsidR="00046454" w:rsidRDefault="00AC2E0E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  <w:r>
                    <w:t>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9621B" w14:textId="77777777" w:rsidR="00046454" w:rsidRDefault="00AC2E0E">
                  <w:pPr>
                    <w:jc w:val="center"/>
                    <w:rPr>
                      <w:color w:val="000000" w:themeColor="text1"/>
                      <w:highlight w:val="yellow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  <w:r>
                    <w:t>%</w:t>
                  </w:r>
                </w:p>
              </w:tc>
            </w:tr>
          </w:tbl>
          <w:p w14:paraId="5DAB6C7B" w14:textId="77777777" w:rsidR="00046454" w:rsidRDefault="00046454">
            <w:pPr>
              <w:rPr>
                <w:i/>
              </w:rPr>
            </w:pPr>
          </w:p>
        </w:tc>
      </w:tr>
      <w:tr w:rsidR="00046454" w14:paraId="1D6B035B" w14:textId="77777777" w:rsidTr="3FC1093A">
        <w:tc>
          <w:tcPr>
            <w:tcW w:w="9322" w:type="dxa"/>
            <w:gridSpan w:val="2"/>
            <w:hideMark/>
          </w:tcPr>
          <w:p w14:paraId="5D00747F" w14:textId="77777777" w:rsidR="00046454" w:rsidRDefault="00AC2E0E">
            <w:pPr>
              <w:tabs>
                <w:tab w:val="left" w:pos="1530"/>
              </w:tabs>
              <w:rPr>
                <w:i/>
              </w:rPr>
            </w:pPr>
            <w:proofErr w:type="spellStart"/>
            <w:r>
              <w:rPr>
                <w:b/>
              </w:rPr>
              <w:t>Lecturers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Prof. PhDr. Mária Čižmárová, CSc., </w:t>
            </w:r>
            <w:proofErr w:type="spellStart"/>
            <w:r>
              <w:t>Guarantor</w:t>
            </w:r>
            <w:proofErr w:type="spellEnd"/>
          </w:p>
        </w:tc>
      </w:tr>
      <w:tr w:rsidR="00046454" w14:paraId="214BDA79" w14:textId="77777777" w:rsidTr="3FC1093A">
        <w:tc>
          <w:tcPr>
            <w:tcW w:w="9322" w:type="dxa"/>
            <w:gridSpan w:val="2"/>
            <w:hideMark/>
          </w:tcPr>
          <w:p w14:paraId="77FD75F8" w14:textId="77777777" w:rsidR="00046454" w:rsidRDefault="00AC2E0E">
            <w:pPr>
              <w:tabs>
                <w:tab w:val="left" w:pos="1530"/>
              </w:tabs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change</w:t>
            </w:r>
            <w:proofErr w:type="spellEnd"/>
            <w:r>
              <w:rPr>
                <w:b/>
              </w:rPr>
              <w:t xml:space="preserve">: </w:t>
            </w:r>
            <w:r>
              <w:t>30.1.2022</w:t>
            </w:r>
          </w:p>
        </w:tc>
      </w:tr>
      <w:tr w:rsidR="00046454" w14:paraId="1058D5F9" w14:textId="77777777" w:rsidTr="3FC1093A">
        <w:tc>
          <w:tcPr>
            <w:tcW w:w="9322" w:type="dxa"/>
            <w:gridSpan w:val="2"/>
            <w:hideMark/>
          </w:tcPr>
          <w:p w14:paraId="0BB9DC4D" w14:textId="77777777" w:rsidR="00046454" w:rsidRDefault="00AC2E0E">
            <w:pPr>
              <w:tabs>
                <w:tab w:val="left" w:pos="1530"/>
              </w:tabs>
              <w:rPr>
                <w:i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  <w:r>
              <w:rPr>
                <w:i/>
              </w:rPr>
              <w:t xml:space="preserve"> </w:t>
            </w:r>
            <w:r>
              <w:t>Prof. PhDr. Mária Čižmárová, CSc.</w:t>
            </w:r>
          </w:p>
        </w:tc>
      </w:tr>
    </w:tbl>
    <w:p w14:paraId="02EB378F" w14:textId="77777777" w:rsidR="00046454" w:rsidRDefault="00046454">
      <w:pPr>
        <w:ind w:left="720"/>
        <w:jc w:val="both"/>
      </w:pPr>
    </w:p>
    <w:p w14:paraId="6A05A809" w14:textId="77777777" w:rsidR="00046454" w:rsidRDefault="00046454"/>
    <w:p w14:paraId="5A39BBE3" w14:textId="77777777" w:rsidR="00046454" w:rsidRDefault="00046454"/>
    <w:p w14:paraId="41C8F396" w14:textId="77777777" w:rsidR="00046454" w:rsidRDefault="00046454"/>
    <w:sectPr w:rsidR="0004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488D"/>
    <w:multiLevelType w:val="hybridMultilevel"/>
    <w:tmpl w:val="53ECE9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25B27"/>
    <w:multiLevelType w:val="hybridMultilevel"/>
    <w:tmpl w:val="CE4CC29A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8F4B78"/>
    <w:multiLevelType w:val="hybridMultilevel"/>
    <w:tmpl w:val="537AE2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53B1"/>
    <w:multiLevelType w:val="hybridMultilevel"/>
    <w:tmpl w:val="193801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8E4F93"/>
    <w:multiLevelType w:val="hybridMultilevel"/>
    <w:tmpl w:val="D8A4A3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BA560F"/>
    <w:multiLevelType w:val="hybridMultilevel"/>
    <w:tmpl w:val="5F0A9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55"/>
    <w:rsid w:val="00046454"/>
    <w:rsid w:val="00495355"/>
    <w:rsid w:val="006E613E"/>
    <w:rsid w:val="00AC2E0E"/>
    <w:rsid w:val="00C736E6"/>
    <w:rsid w:val="00EA1B6C"/>
    <w:rsid w:val="00F96123"/>
    <w:rsid w:val="3FC1093A"/>
    <w:rsid w:val="74759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B6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A1B6C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A1B6C"/>
    <w:pPr>
      <w:ind w:left="720"/>
      <w:contextualSpacing/>
    </w:pPr>
  </w:style>
  <w:style w:type="character" w:customStyle="1" w:styleId="ZkladntextTun">
    <w:name w:val="Základný text + Tučné"/>
    <w:aliases w:val="Nie kurzíva"/>
    <w:rsid w:val="00EA1B6C"/>
    <w:rPr>
      <w:rFonts w:ascii="Bookman Old Style" w:hAnsi="Bookman Old Style"/>
      <w:b/>
      <w:i/>
      <w:color w:val="000000"/>
      <w:position w:val="0"/>
      <w:sz w:val="18"/>
      <w:shd w:val="clear" w:color="auto" w:fill="FFFFFF"/>
    </w:rPr>
  </w:style>
  <w:style w:type="character" w:customStyle="1" w:styleId="Zkladntext1">
    <w:name w:val="Základný text1"/>
    <w:rsid w:val="00EA1B6C"/>
    <w:rPr>
      <w:rFonts w:ascii="Bookman Old Style" w:hAnsi="Bookman Old Style"/>
      <w:i/>
      <w:color w:val="000000"/>
      <w:position w:val="0"/>
      <w:sz w:val="18"/>
      <w:shd w:val="clear" w:color="auto" w:fill="FFFFFF"/>
    </w:rPr>
  </w:style>
  <w:style w:type="character" w:customStyle="1" w:styleId="Zkladntext">
    <w:name w:val="Základný text_"/>
    <w:link w:val="Zkladntext2"/>
    <w:locked/>
    <w:rsid w:val="00EA1B6C"/>
    <w:rPr>
      <w:rFonts w:ascii="Bookman Old Style" w:hAnsi="Bookman Old Style"/>
      <w:i/>
      <w:sz w:val="18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EA1B6C"/>
    <w:pPr>
      <w:widowControl w:val="0"/>
      <w:shd w:val="clear" w:color="auto" w:fill="FFFFFF"/>
      <w:spacing w:before="300" w:after="180" w:line="240" w:lineRule="atLeast"/>
    </w:pPr>
    <w:rPr>
      <w:rFonts w:ascii="Bookman Old Style" w:eastAsiaTheme="minorHAnsi" w:hAnsi="Bookman Old Style" w:cstheme="minorBidi"/>
      <w:i/>
      <w:sz w:val="18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Zkladntext22">
    <w:name w:val="P68B1DB1-Zkladntext22"/>
    <w:basedOn w:val="Zkladntext2"/>
    <w:rPr>
      <w:rFonts w:ascii="Times New Roman" w:hAnsi="Times New Roman" w:cs="Times New Roman"/>
      <w:i w:val="0"/>
      <w:sz w:val="24"/>
    </w:rPr>
  </w:style>
  <w:style w:type="paragraph" w:customStyle="1" w:styleId="P68B1DB1-Normlny3">
    <w:name w:val="P68B1DB1-Normlny3"/>
    <w:basedOn w:val="Normlny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B6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A1B6C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A1B6C"/>
    <w:pPr>
      <w:ind w:left="720"/>
      <w:contextualSpacing/>
    </w:pPr>
  </w:style>
  <w:style w:type="character" w:customStyle="1" w:styleId="ZkladntextTun">
    <w:name w:val="Základný text + Tučné"/>
    <w:aliases w:val="Nie kurzíva"/>
    <w:rsid w:val="00EA1B6C"/>
    <w:rPr>
      <w:rFonts w:ascii="Bookman Old Style" w:hAnsi="Bookman Old Style"/>
      <w:b/>
      <w:i/>
      <w:color w:val="000000"/>
      <w:position w:val="0"/>
      <w:sz w:val="18"/>
      <w:shd w:val="clear" w:color="auto" w:fill="FFFFFF"/>
    </w:rPr>
  </w:style>
  <w:style w:type="character" w:customStyle="1" w:styleId="Zkladntext1">
    <w:name w:val="Základný text1"/>
    <w:rsid w:val="00EA1B6C"/>
    <w:rPr>
      <w:rFonts w:ascii="Bookman Old Style" w:hAnsi="Bookman Old Style"/>
      <w:i/>
      <w:color w:val="000000"/>
      <w:position w:val="0"/>
      <w:sz w:val="18"/>
      <w:shd w:val="clear" w:color="auto" w:fill="FFFFFF"/>
    </w:rPr>
  </w:style>
  <w:style w:type="character" w:customStyle="1" w:styleId="Zkladntext">
    <w:name w:val="Základný text_"/>
    <w:link w:val="Zkladntext2"/>
    <w:locked/>
    <w:rsid w:val="00EA1B6C"/>
    <w:rPr>
      <w:rFonts w:ascii="Bookman Old Style" w:hAnsi="Bookman Old Style"/>
      <w:i/>
      <w:sz w:val="18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EA1B6C"/>
    <w:pPr>
      <w:widowControl w:val="0"/>
      <w:shd w:val="clear" w:color="auto" w:fill="FFFFFF"/>
      <w:spacing w:before="300" w:after="180" w:line="240" w:lineRule="atLeast"/>
    </w:pPr>
    <w:rPr>
      <w:rFonts w:ascii="Bookman Old Style" w:eastAsiaTheme="minorHAnsi" w:hAnsi="Bookman Old Style" w:cstheme="minorBidi"/>
      <w:i/>
      <w:sz w:val="18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Zkladntext22">
    <w:name w:val="P68B1DB1-Zkladntext22"/>
    <w:basedOn w:val="Zkladntext2"/>
    <w:rPr>
      <w:rFonts w:ascii="Times New Roman" w:hAnsi="Times New Roman" w:cs="Times New Roman"/>
      <w:i w:val="0"/>
      <w:sz w:val="24"/>
    </w:rPr>
  </w:style>
  <w:style w:type="paragraph" w:customStyle="1" w:styleId="P68B1DB1-Normlny3">
    <w:name w:val="P68B1DB1-Normlny3"/>
    <w:basedOn w:val="Normlny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F0332-BE44-48F7-B5AB-68D6D11CA0E4}"/>
</file>

<file path=customXml/itemProps2.xml><?xml version="1.0" encoding="utf-8"?>
<ds:datastoreItem xmlns:ds="http://schemas.openxmlformats.org/officeDocument/2006/customXml" ds:itemID="{098CFCA0-0C93-4C60-910A-260B57B29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ECCBEF-3588-4517-B505-49B39AFE9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5238</Characters>
  <Application>Microsoft Office Word</Application>
  <DocSecurity>0</DocSecurity>
  <Lines>43</Lines>
  <Paragraphs>12</Paragraphs>
  <ScaleCrop>false</ScaleCrop>
  <Company>HP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2022-02-10T08:27:00Z</cp:lastPrinted>
  <dcterms:created xsi:type="dcterms:W3CDTF">2022-02-09T15:55:00Z</dcterms:created>
  <dcterms:modified xsi:type="dcterms:W3CDTF">2022-03-01T08:57:00Z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