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33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430"/>
        <w:gridCol w:w="1264"/>
        <w:gridCol w:w="1389"/>
        <w:gridCol w:w="81"/>
      </w:tblGrid>
      <w:tr w:rsidR="00851A5D" w:rsidRPr="00401D44" w14:paraId="6C576B6E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B434BA" w14:textId="524A871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JR_PAGE_ANCHOR_0_1"/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University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: 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University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of Prešov in Prešov</w:t>
            </w:r>
          </w:p>
        </w:tc>
      </w:tr>
      <w:tr w:rsidR="00851A5D" w:rsidRPr="00401D44" w14:paraId="42B6C451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C14D13" w14:textId="17D7DE33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Faculty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Faculty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</w:p>
        </w:tc>
      </w:tr>
      <w:tr w:rsidR="001D3B62" w:rsidRPr="00401D44" w14:paraId="779232DB" w14:textId="77777777" w:rsidTr="001D3B62">
        <w:trPr>
          <w:gridAfter w:val="1"/>
          <w:tblCellSpacing w:w="15" w:type="dxa"/>
        </w:trPr>
        <w:tc>
          <w:tcPr>
            <w:tcW w:w="3924" w:type="dxa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963F59" w14:textId="1A613E48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Code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 1IUSS-U/PPJC4/15</w:t>
            </w:r>
          </w:p>
        </w:tc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93710" w14:textId="2D6BF716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name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Language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Skills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4</w:t>
            </w:r>
          </w:p>
        </w:tc>
      </w:tr>
      <w:tr w:rsidR="00851A5D" w:rsidRPr="00401D44" w14:paraId="65EFE084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68427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401D4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Type, </w:t>
            </w:r>
            <w:proofErr w:type="gramStart"/>
            <w:r w:rsidRPr="00401D4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scope</w:t>
            </w:r>
            <w:proofErr w:type="gramEnd"/>
            <w:r w:rsidRPr="00401D44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and method of learning activities: </w:t>
            </w:r>
          </w:p>
          <w:p w14:paraId="09D8A7E2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uk-UA" w:eastAsia="sk-SK"/>
              </w:rPr>
            </w:pPr>
            <w:r w:rsidRPr="00401D44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Type of learning activities:</w:t>
            </w:r>
            <w:r w:rsidRPr="00401D4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seminar</w:t>
            </w:r>
          </w:p>
          <w:p w14:paraId="3EB5F7CA" w14:textId="57AD492A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val="en-US" w:eastAsia="sk-SK"/>
              </w:rPr>
              <w:t>Scope of learning activities: 2 lessons per week</w:t>
            </w:r>
          </w:p>
        </w:tc>
      </w:tr>
      <w:tr w:rsidR="00851A5D" w:rsidRPr="00401D44" w14:paraId="0FE4B772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50384" w14:textId="3AE7C7B9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Number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of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 3</w:t>
            </w:r>
          </w:p>
        </w:tc>
      </w:tr>
      <w:tr w:rsidR="00851A5D" w:rsidRPr="00401D44" w14:paraId="7D3F7F36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A99ED7" w14:textId="388B84CB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Semester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: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Summer</w:t>
            </w:r>
            <w:proofErr w:type="spellEnd"/>
          </w:p>
        </w:tc>
      </w:tr>
      <w:tr w:rsidR="00851A5D" w:rsidRPr="00401D44" w14:paraId="4AB2053B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C83E45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 xml:space="preserve">Requirements for completing the course: </w:t>
            </w:r>
            <w:r w:rsidRPr="00401D44">
              <w:rPr>
                <w:rFonts w:ascii="Times New Roman" w:eastAsia="Times New Roman" w:hAnsi="Times New Roman" w:cs="Times New Roman"/>
                <w:lang w:val="en-US" w:eastAsia="sk-SK"/>
              </w:rPr>
              <w:t>active participation in seminar sessions</w:t>
            </w:r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>submit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proofErr w:type="gramStart"/>
            <w:r w:rsidRPr="00401D44">
              <w:rPr>
                <w:rFonts w:ascii="Times New Roman" w:eastAsia="Times New Roman" w:hAnsi="Times New Roman" w:cs="Times New Roman"/>
                <w:lang w:val="uk-UA" w:eastAsia="sk-SK"/>
              </w:rPr>
              <w:t>assignment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gramEnd"/>
          </w:p>
          <w:p w14:paraId="57BB622C" w14:textId="3109AC7E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 xml:space="preserve">Course assessment and completion: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continuous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assessment</w:t>
            </w:r>
            <w:proofErr w:type="spellEnd"/>
          </w:p>
        </w:tc>
      </w:tr>
      <w:tr w:rsidR="00851A5D" w:rsidRPr="00401D44" w14:paraId="7B05AE75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A203A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Learning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outcomes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  <w:p w14:paraId="2A7F91B6" w14:textId="431DC6BE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aim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course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is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to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support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ability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to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communicate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language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to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activate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="009661AC" w:rsidRPr="00401D44">
              <w:rPr>
                <w:rFonts w:ascii="Times New Roman" w:eastAsia="Times New Roman" w:hAnsi="Times New Roman" w:cs="Times New Roman"/>
                <w:lang w:eastAsia="sk-SK"/>
              </w:rPr>
              <w:t>improve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language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skills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to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develop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communication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skills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Students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should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be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able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to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speak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="009661AC" w:rsidRPr="00401D44">
              <w:rPr>
                <w:rFonts w:ascii="Times New Roman" w:eastAsia="Times New Roman" w:hAnsi="Times New Roman" w:cs="Times New Roman"/>
                <w:lang w:eastAsia="sk-SK"/>
              </w:rPr>
              <w:t>write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on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any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topic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at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appropriate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level (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mastery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spelling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rich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vocabulary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mastery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grammar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rules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).</w:t>
            </w:r>
          </w:p>
        </w:tc>
      </w:tr>
      <w:tr w:rsidR="00851A5D" w:rsidRPr="00401D44" w14:paraId="178C00D1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EF7F91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curriculum:</w:t>
            </w:r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br/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Oral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expression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situational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continuous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),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written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expression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reproductive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productive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).</w:t>
            </w:r>
          </w:p>
          <w:p w14:paraId="1D27BAC3" w14:textId="77777777" w:rsidR="001D3B62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Conversation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topics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sym w:font="Symbol" w:char="F0D8"/>
            </w:r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Boarding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Eating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culture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Catering at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home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outside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house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(in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school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canteen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in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buffet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in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restaurant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in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fast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food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stalls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).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Fruits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vegetables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flour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products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meat and meat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products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In a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restaurant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confectionery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cofee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bar,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wine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bar.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Diet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healthy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>nutrition</w:t>
            </w:r>
            <w:proofErr w:type="spellEnd"/>
            <w:r w:rsidR="001D3B62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14:paraId="337F5CD6" w14:textId="5D65A8C6" w:rsidR="001D3B62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sym w:font="Symbol" w:char="F0D8"/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Kitchen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Kitchen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equipment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Kitchen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utensils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National and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international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cuisine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14:paraId="2402B950" w14:textId="175F2722" w:rsidR="00851A5D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sym w:font="Symbol" w:char="F0D8"/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Games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sports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winter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summer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Favorite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athletes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851A5D" w:rsidRPr="00401D44" w14:paraId="5B37386D" w14:textId="77777777" w:rsidTr="001D3B62">
        <w:trPr>
          <w:gridAfter w:val="1"/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DE814" w14:textId="1B365E41" w:rsidR="001D3B62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"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reading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br/>
              <w:t>1.    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HANUDEĽOVÁ, Z.: Praktické cvičenia z ukrajinského jazyka. Banská Bystrica 1999.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2.      OLIJNYK, O.: Svit </w:t>
            </w:r>
            <w:proofErr w:type="spellStart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ukrajinskoho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slova. </w:t>
            </w:r>
            <w:proofErr w:type="spellStart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1994.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3.      UKRAJINŠTINA – ČEŠTINA. Praktický jazykový </w:t>
            </w:r>
            <w:proofErr w:type="spellStart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průvodce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Bučovice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 1998.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br/>
              <w:t>4.      </w:t>
            </w:r>
            <w:r w:rsidRPr="00401D44">
              <w:rPr>
                <w:rFonts w:ascii="Times New Roman" w:eastAsia="Times New Roman" w:hAnsi="Times New Roman" w:cs="Times New Roman"/>
                <w:lang w:val="en" w:eastAsia="sk-SK"/>
              </w:rPr>
              <w:t>Texts from our database, books, magazines, newspapers</w:t>
            </w:r>
          </w:p>
          <w:p w14:paraId="710801BA" w14:textId="1F9AABFE" w:rsidR="00851A5D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val="en" w:eastAsia="sk-SK"/>
              </w:rPr>
              <w:t>5.      Internet - electronic texts - texts according to the topic adapted to teaching</w:t>
            </w:r>
          </w:p>
        </w:tc>
      </w:tr>
      <w:tr w:rsidR="00851A5D" w:rsidRPr="00401D44" w14:paraId="5E13DE09" w14:textId="77777777" w:rsidTr="001D3B62">
        <w:trPr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67321" w14:textId="77777777" w:rsidR="009661AC" w:rsidRPr="009661AC" w:rsidRDefault="009661AC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9661A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Evaluation</w:t>
            </w:r>
          </w:p>
          <w:p w14:paraId="5A20652C" w14:textId="3A0C4F3D" w:rsidR="00851A5D" w:rsidRPr="00401D44" w:rsidRDefault="009661AC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val="en-US" w:eastAsia="sk-SK"/>
              </w:rPr>
              <w:t>Overall number of the students evaluated</w:t>
            </w:r>
            <w:r w:rsidRPr="00401D44">
              <w:rPr>
                <w:rFonts w:ascii="Times New Roman" w:eastAsia="Times New Roman" w:hAnsi="Times New Roman" w:cs="Times New Roman"/>
                <w:lang w:val="en-US" w:eastAsia="sk-SK"/>
              </w:rPr>
              <w:t xml:space="preserve">: 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7D629F2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3B62" w:rsidRPr="00401D44" w14:paraId="2D3F5EBD" w14:textId="77777777" w:rsidTr="001D3B62">
        <w:trPr>
          <w:tblCellSpacing w:w="15" w:type="dxa"/>
        </w:trPr>
        <w:tc>
          <w:tcPr>
            <w:tcW w:w="1231" w:type="dxa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39F728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B84FC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B98E03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89FA75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5A2D86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915169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5BECF9FE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3B62" w:rsidRPr="00401D44" w14:paraId="7C033113" w14:textId="77777777" w:rsidTr="001D3B62">
        <w:trPr>
          <w:tblCellSpacing w:w="15" w:type="dxa"/>
        </w:trPr>
        <w:tc>
          <w:tcPr>
            <w:tcW w:w="1231" w:type="dxa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224DDA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23%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119232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30%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222E27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9%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516B88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11%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70078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2%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F9E10C" w14:textId="77777777" w:rsidR="00851A5D" w:rsidRPr="00401D44" w:rsidRDefault="00851A5D" w:rsidP="0040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373B60F4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51A5D" w:rsidRPr="00401D44" w14:paraId="1DC37323" w14:textId="77777777" w:rsidTr="001D3B62">
        <w:trPr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7EAE33" w14:textId="527C3FB9" w:rsidR="00851A5D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br/>
              <w:t>prof. PhDr. Mária Čižmárová, CSc., garant</w:t>
            </w:r>
          </w:p>
        </w:tc>
        <w:tc>
          <w:tcPr>
            <w:tcW w:w="0" w:type="auto"/>
            <w:vAlign w:val="center"/>
            <w:hideMark/>
          </w:tcPr>
          <w:p w14:paraId="13ED9D97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51A5D" w:rsidRPr="00401D44" w14:paraId="34B6A144" w14:textId="77777777" w:rsidTr="001D3B62">
        <w:trPr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24D1EA" w14:textId="6A36ECE9" w:rsidR="00851A5D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updated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date</w:t>
            </w:r>
            <w:proofErr w:type="spellEnd"/>
            <w:r w:rsidR="00851A5D"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401D44">
              <w:rPr>
                <w:rFonts w:ascii="Times New Roman" w:eastAsia="Times New Roman" w:hAnsi="Times New Roman" w:cs="Times New Roman"/>
                <w:lang w:eastAsia="sk-SK"/>
              </w:rPr>
              <w:t xml:space="preserve">September 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1595F3CC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51A5D" w:rsidRPr="00401D44" w14:paraId="717BA27E" w14:textId="77777777" w:rsidTr="001D3B62">
        <w:trPr>
          <w:tblCellSpacing w:w="15" w:type="dxa"/>
        </w:trPr>
        <w:tc>
          <w:tcPr>
            <w:tcW w:w="800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558478" w14:textId="58FB6C93" w:rsidR="00851A5D" w:rsidRPr="00401D44" w:rsidRDefault="001D3B62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Approved</w:t>
            </w:r>
            <w:proofErr w:type="spellEnd"/>
            <w:r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by</w:t>
            </w:r>
            <w:r w:rsidR="00851A5D" w:rsidRPr="00401D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851A5D" w:rsidRPr="00401D44">
              <w:rPr>
                <w:rFonts w:ascii="Times New Roman" w:eastAsia="Times New Roman" w:hAnsi="Times New Roman" w:cs="Times New Roman"/>
                <w:lang w:eastAsia="sk-SK"/>
              </w:rPr>
              <w:t> prof. PhDr. Mária Čižmárová, CSc.</w:t>
            </w:r>
          </w:p>
        </w:tc>
        <w:tc>
          <w:tcPr>
            <w:tcW w:w="0" w:type="auto"/>
            <w:vAlign w:val="center"/>
            <w:hideMark/>
          </w:tcPr>
          <w:p w14:paraId="34C7D679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D3B62" w:rsidRPr="00401D44" w14:paraId="6D08E15B" w14:textId="77777777" w:rsidTr="001D3B62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2F15A101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88" w:type="dxa"/>
            <w:vAlign w:val="center"/>
            <w:hideMark/>
          </w:tcPr>
          <w:p w14:paraId="6BCE661F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45" w:type="dxa"/>
            <w:vAlign w:val="center"/>
            <w:hideMark/>
          </w:tcPr>
          <w:p w14:paraId="6830AD65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00" w:type="dxa"/>
            <w:vAlign w:val="center"/>
            <w:hideMark/>
          </w:tcPr>
          <w:p w14:paraId="2E78D887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34" w:type="dxa"/>
            <w:vAlign w:val="center"/>
            <w:hideMark/>
          </w:tcPr>
          <w:p w14:paraId="6D178EE7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59" w:type="dxa"/>
            <w:vAlign w:val="center"/>
            <w:hideMark/>
          </w:tcPr>
          <w:p w14:paraId="3BD22848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8602F72" w14:textId="77777777" w:rsidR="00851A5D" w:rsidRPr="00401D44" w:rsidRDefault="00851A5D" w:rsidP="00401D4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bookmarkEnd w:id="0"/>
    </w:tbl>
    <w:p w14:paraId="165CF4F2" w14:textId="77777777" w:rsidR="00EC341D" w:rsidRPr="00401D44" w:rsidRDefault="00EC341D" w:rsidP="00401D44">
      <w:pPr>
        <w:spacing w:line="276" w:lineRule="auto"/>
        <w:rPr>
          <w:rFonts w:ascii="Times New Roman" w:hAnsi="Times New Roman" w:cs="Times New Roman"/>
        </w:rPr>
      </w:pPr>
    </w:p>
    <w:sectPr w:rsidR="00EC341D" w:rsidRPr="0040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5D"/>
    <w:rsid w:val="001D3B62"/>
    <w:rsid w:val="00401D44"/>
    <w:rsid w:val="00851A5D"/>
    <w:rsid w:val="009661AC"/>
    <w:rsid w:val="00E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B5F"/>
  <w15:chartTrackingRefBased/>
  <w15:docId w15:val="{85E06EC9-EA01-444B-872F-70C0968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2021-02-09T11:35:00Z</dcterms:created>
  <dcterms:modified xsi:type="dcterms:W3CDTF">2021-02-09T13:08:00Z</dcterms:modified>
</cp:coreProperties>
</file>