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b/>
          <w:bCs/>
          <w:szCs w:val="24"/>
        </w:rPr>
      </w:pPr>
      <w:r>
        <w:rPr>
          <w:b/>
          <w:bCs/>
          <w:szCs w:val="24"/>
        </w:rPr>
        <w:t>OPIS ŠTUDIJNÉHO PROGRAMU – OSNOVA</w:t>
      </w:r>
    </w:p>
    <w:p>
      <w:pPr>
        <w:pStyle w:val="Normal"/>
        <w:spacing w:before="0" w:after="60"/>
        <w:rPr>
          <w:rFonts w:cs="Calibri" w:cstheme="minorHAnsi"/>
          <w:b/>
          <w:b/>
          <w:bCs/>
          <w:sz w:val="24"/>
          <w:szCs w:val="16"/>
        </w:rPr>
      </w:pPr>
      <w:r>
        <w:rPr>
          <w:rFonts w:cs="Calibri" w:cstheme="minorHAnsi"/>
          <w:b/>
          <w:bCs/>
          <w:sz w:val="24"/>
          <w:szCs w:val="16"/>
        </w:rPr>
      </w:r>
    </w:p>
    <w:p>
      <w:pPr>
        <w:pStyle w:val="Normal"/>
        <w:spacing w:lineRule="auto" w:line="240" w:before="80" w:after="80"/>
        <w:jc w:val="both"/>
        <w:rPr>
          <w:rFonts w:cs="Calibri" w:cstheme="minorHAnsi"/>
          <w:i/>
          <w:i/>
          <w:sz w:val="24"/>
        </w:rPr>
      </w:pPr>
      <w:r>
        <w:rPr>
          <w:rFonts w:cs="Calibri" w:cstheme="minorHAnsi"/>
          <w:b/>
          <w:sz w:val="24"/>
        </w:rPr>
        <w:t>Vysoká škola:</w:t>
      </w:r>
      <w:r>
        <w:rPr>
          <w:rFonts w:cs="Calibri" w:cstheme="minorHAnsi"/>
          <w:sz w:val="24"/>
        </w:rPr>
        <w:t xml:space="preserve"> </w:t>
      </w:r>
      <w:r>
        <w:rPr>
          <w:rFonts w:cs="Calibri" w:cstheme="minorHAnsi"/>
          <w:i/>
          <w:sz w:val="24"/>
        </w:rPr>
        <w:t>Prešovská univerzita v Prešove</w:t>
      </w:r>
    </w:p>
    <w:p>
      <w:pPr>
        <w:pStyle w:val="Normal"/>
        <w:spacing w:lineRule="auto" w:line="240" w:before="80" w:after="80"/>
        <w:rPr>
          <w:rFonts w:cs="Calibri" w:cstheme="minorHAnsi"/>
          <w:b/>
          <w:b/>
          <w:bCs/>
          <w:sz w:val="24"/>
          <w:szCs w:val="24"/>
        </w:rPr>
      </w:pPr>
      <w:r>
        <w:rPr>
          <w:rFonts w:cs="Calibri" w:cstheme="minorHAnsi"/>
          <w:b/>
          <w:bCs/>
          <w:sz w:val="24"/>
          <w:szCs w:val="24"/>
        </w:rPr>
        <w:t xml:space="preserve">Fakulta/pracovisko: </w:t>
      </w:r>
      <w:sdt>
        <w:sdtPr>
          <w:alias w:val=""/>
          <w:dropDownList w:lastValue="1">
            <w:listItem w:value="Vyberte položku." w:displayText="Vyberte položku."/>
            <w:listItem w:value="Filozofická fakulta" w:displayText="Filozofická fakulta"/>
            <w:listItem w:value="Gréckokatolícka teologická fakulta" w:displayText="Gréckokatolícka teologická fakulta"/>
            <w:listItem w:value="Fakulta humanitných a prírodných vied" w:displayText="Fakulta humanitných a prírodných vied"/>
            <w:listItem w:value="Fakulta manažmentu, ekonomiky a obchodu" w:displayText="Fakulta manažmentu, ekonomiky a obchodu"/>
            <w:listItem w:value="Pedagogická fakulta" w:displayText="Pedagogická fakulta"/>
            <w:listItem w:value="Pravoslávna bohoslovecká fakulta" w:displayText="Pravoslávna bohoslovecká fakulta"/>
            <w:listItem w:value="Fakulta športu" w:displayText="Fakulta športu"/>
            <w:listItem w:value="Fakulta zdravotníckych odborov" w:displayText="Fakulta zdravotníckych odborov"/>
            <w:listItem w:value="Centrum jazykov a kultúr národnostných menšín" w:displayText="Centrum jazykov a kultúr národnostných menšín"/>
          </w:dropDownList>
        </w:sdtPr>
        <w:sdtContent>
          <w:r>
            <w:rPr/>
          </w:r>
          <w:r>
            <w:t>Filozofická fakulta</w:t>
          </w:r>
        </w:sdtContent>
      </w:sdt>
    </w:p>
    <w:p>
      <w:pPr>
        <w:pStyle w:val="Normal"/>
        <w:spacing w:lineRule="auto" w:line="240" w:before="80" w:after="80"/>
        <w:rPr>
          <w:rFonts w:cs="Calibri" w:cstheme="minorHAnsi"/>
          <w:bCs/>
          <w:i/>
          <w:i/>
          <w:color w:val="808080" w:themeColor="background1" w:themeShade="80"/>
          <w:sz w:val="24"/>
          <w:szCs w:val="16"/>
        </w:rPr>
      </w:pPr>
      <w:r>
        <w:rPr>
          <w:rFonts w:cs="Calibri" w:cstheme="minorHAnsi"/>
          <w:b/>
          <w:bCs/>
          <w:sz w:val="24"/>
          <w:szCs w:val="24"/>
        </w:rPr>
        <w:t>Sídlo fakulty/pracoviska (adresa):</w:t>
      </w:r>
      <w:r>
        <w:rPr>
          <w:rFonts w:cs="Calibri" w:cstheme="minorHAnsi"/>
          <w:b/>
          <w:bCs/>
          <w:sz w:val="16"/>
          <w:szCs w:val="16"/>
        </w:rPr>
        <w:t xml:space="preserve"> </w:t>
      </w:r>
      <w:r>
        <w:rPr>
          <w:rFonts w:cs="Calibri" w:cstheme="minorHAnsi"/>
          <w:bCs/>
          <w:i/>
          <w:color w:val="808080" w:themeColor="background1" w:themeShade="80"/>
          <w:sz w:val="24"/>
          <w:szCs w:val="16"/>
        </w:rPr>
        <w:t>Ul. 17. novembra č. 1, 080 01 Prešov</w:t>
      </w:r>
    </w:p>
    <w:p>
      <w:pPr>
        <w:pStyle w:val="Normal"/>
        <w:tabs>
          <w:tab w:val="clear" w:pos="708"/>
          <w:tab w:val="center" w:pos="4536" w:leader="none"/>
        </w:tabs>
        <w:spacing w:lineRule="auto" w:line="240" w:before="0" w:after="0"/>
        <w:rPr>
          <w:rFonts w:cs="Calibri" w:cstheme="minorHAnsi"/>
          <w:sz w:val="16"/>
          <w:szCs w:val="16"/>
        </w:rPr>
      </w:pPr>
      <w:r>
        <w:rPr>
          <w:rFonts w:cs="Calibri" w:cstheme="minorHAnsi"/>
          <w:sz w:val="16"/>
          <w:szCs w:val="16"/>
        </w:rPr>
        <w:t xml:space="preserve">Orgán vysokej školy na schvaľovanie študijného programu:  </w:t>
      </w:r>
      <w:r>
        <w:rPr>
          <w:rFonts w:cs="Calibri" w:cstheme="minorHAnsi"/>
          <w:i/>
          <w:iCs/>
          <w:color w:val="000000" w:themeColor="text1"/>
          <w:sz w:val="16"/>
          <w:szCs w:val="16"/>
        </w:rPr>
        <w:t>Ad hoc komisia Prešovskej univerzity v Prešove pre schválenie žiadosti o udelenie akreditácie študijného programu</w:t>
      </w:r>
      <w:r>
        <w:rPr>
          <w:rFonts w:cs="Calibri" w:cstheme="minorHAnsi"/>
          <w:sz w:val="16"/>
          <w:szCs w:val="16"/>
        </w:rPr>
        <w:tab/>
      </w:r>
    </w:p>
    <w:p>
      <w:pPr>
        <w:pStyle w:val="Normal"/>
        <w:spacing w:lineRule="auto" w:line="240" w:before="0" w:after="0"/>
        <w:ind w:left="360" w:hanging="360"/>
        <w:rPr>
          <w:rFonts w:cs="Calibri" w:cstheme="minorHAnsi"/>
          <w:sz w:val="16"/>
          <w:szCs w:val="16"/>
        </w:rPr>
      </w:pPr>
      <w:r>
        <w:rPr>
          <w:rFonts w:cs="Calibri" w:cstheme="minorHAnsi"/>
          <w:sz w:val="16"/>
          <w:szCs w:val="16"/>
        </w:rPr>
        <w:t xml:space="preserve">Dátum schválenia študijného programu alebo úpravy študijného programu: </w:t>
      </w:r>
    </w:p>
    <w:p>
      <w:pPr>
        <w:pStyle w:val="Normal"/>
        <w:spacing w:lineRule="auto" w:line="240" w:before="0" w:after="0"/>
        <w:ind w:left="360" w:hanging="360"/>
        <w:rPr>
          <w:rFonts w:cs="Calibri" w:cstheme="minorHAnsi"/>
          <w:sz w:val="16"/>
          <w:szCs w:val="16"/>
        </w:rPr>
      </w:pPr>
      <w:r>
        <w:rPr>
          <w:rFonts w:cs="Calibri" w:cstheme="minorHAnsi"/>
          <w:sz w:val="16"/>
          <w:szCs w:val="16"/>
        </w:rPr>
        <w:t>Dátum ostatnej zmeny</w:t>
      </w:r>
      <w:r>
        <w:rPr>
          <w:rStyle w:val="FootnoteAnchor"/>
          <w:rFonts w:cs="Calibri" w:cstheme="minorHAnsi"/>
          <w:szCs w:val="16"/>
        </w:rPr>
        <w:footnoteReference w:id="2"/>
      </w:r>
      <w:r>
        <w:rPr>
          <w:rFonts w:cs="Calibri" w:cstheme="minorHAnsi"/>
          <w:sz w:val="16"/>
          <w:szCs w:val="16"/>
        </w:rPr>
        <w:t xml:space="preserve"> opisu študijného programu: </w:t>
      </w:r>
    </w:p>
    <w:p>
      <w:pPr>
        <w:pStyle w:val="Normal"/>
        <w:spacing w:lineRule="auto" w:line="240" w:before="0" w:after="0"/>
        <w:ind w:left="360" w:hanging="360"/>
        <w:rPr>
          <w:rFonts w:cs="Calibri" w:cstheme="minorHAnsi"/>
          <w:sz w:val="16"/>
          <w:szCs w:val="16"/>
        </w:rPr>
      </w:pPr>
      <w:r>
        <w:rPr>
          <w:rFonts w:cs="Calibri" w:cstheme="minorHAnsi"/>
          <w:sz w:val="16"/>
          <w:szCs w:val="16"/>
        </w:rPr>
        <w:t xml:space="preserve">Odkaz na výsledky ostatného periodického hodnotenia študijného programu vysokou školou: </w:t>
      </w:r>
    </w:p>
    <w:p>
      <w:pPr>
        <w:pStyle w:val="Normal"/>
        <w:spacing w:lineRule="auto" w:line="240" w:before="0" w:after="0"/>
        <w:ind w:left="360" w:hanging="360"/>
        <w:rPr>
          <w:rFonts w:cs="Calibri" w:cstheme="minorHAnsi"/>
          <w:sz w:val="16"/>
          <w:szCs w:val="16"/>
        </w:rPr>
      </w:pPr>
      <w:r>
        <w:rPr>
          <w:rFonts w:cs="Calibri" w:cstheme="minorHAnsi"/>
          <w:sz w:val="16"/>
          <w:szCs w:val="16"/>
        </w:rPr>
        <w:t xml:space="preserve">Odkaz na hodnotiacu správu k žiadosti o akreditáciu študijného programu </w:t>
      </w:r>
      <w:r>
        <w:rPr>
          <w:rFonts w:cs="Calibri" w:cstheme="minorHAnsi"/>
          <w:sz w:val="16"/>
          <w:szCs w:val="16"/>
          <w:lang w:eastAsia="sk-SK"/>
        </w:rPr>
        <w:t>podľa § 30 zákona č. 269/2018 Z. z.</w:t>
      </w:r>
      <w:r>
        <w:rPr>
          <w:rStyle w:val="FootnoteAnchor"/>
          <w:rFonts w:cs="Calibri" w:cstheme="minorHAnsi"/>
          <w:szCs w:val="16"/>
          <w:lang w:eastAsia="sk-SK"/>
        </w:rPr>
        <w:footnoteReference w:id="3"/>
      </w:r>
      <w:r>
        <w:rPr>
          <w:rFonts w:cs="Calibri" w:cstheme="minorHAnsi"/>
          <w:sz w:val="16"/>
          <w:szCs w:val="16"/>
          <w:lang w:eastAsia="sk-SK"/>
        </w:rPr>
        <w:t xml:space="preserve">: </w:t>
      </w:r>
    </w:p>
    <w:p>
      <w:pPr>
        <w:pStyle w:val="Normal"/>
        <w:spacing w:lineRule="auto" w:line="240" w:before="0" w:after="0"/>
        <w:ind w:left="360" w:hanging="360"/>
        <w:rPr>
          <w:rFonts w:cs="Calibri" w:cstheme="minorHAnsi"/>
          <w:sz w:val="16"/>
          <w:szCs w:val="16"/>
        </w:rPr>
      </w:pPr>
      <w:r>
        <w:rPr>
          <w:rFonts w:cs="Calibri" w:cstheme="minorHAnsi"/>
          <w:sz w:val="16"/>
          <w:szCs w:val="16"/>
        </w:rPr>
      </w:r>
    </w:p>
    <w:p>
      <w:pPr>
        <w:pStyle w:val="ListParagraph"/>
        <w:numPr>
          <w:ilvl w:val="0"/>
          <w:numId w:val="1"/>
        </w:numPr>
        <w:spacing w:lineRule="auto" w:line="240" w:before="0" w:after="0"/>
        <w:contextualSpacing/>
        <w:rPr>
          <w:rFonts w:cs="Calibri" w:cstheme="minorHAnsi"/>
          <w:b/>
          <w:b/>
          <w:bCs/>
          <w:sz w:val="16"/>
          <w:szCs w:val="16"/>
        </w:rPr>
      </w:pPr>
      <w:r>
        <w:rPr>
          <w:rFonts w:cs="Calibri" w:cstheme="minorHAnsi"/>
          <w:b/>
          <w:bCs/>
          <w:sz w:val="16"/>
          <w:szCs w:val="16"/>
        </w:rPr>
        <w:t xml:space="preserve">Základné údaje o študijnom programe </w:t>
      </w:r>
    </w:p>
    <w:p>
      <w:pPr>
        <w:pStyle w:val="ListParagraph"/>
        <w:numPr>
          <w:ilvl w:val="0"/>
          <w:numId w:val="2"/>
        </w:numPr>
        <w:spacing w:lineRule="auto" w:line="240" w:before="0" w:after="0"/>
        <w:contextualSpacing/>
        <w:rPr>
          <w:rFonts w:cs="Calibri" w:cstheme="minorHAnsi"/>
          <w:i/>
          <w:i/>
          <w:sz w:val="16"/>
          <w:szCs w:val="16"/>
        </w:rPr>
      </w:pPr>
      <w:r>
        <w:rPr>
          <w:rFonts w:cs="Calibri" w:cstheme="minorHAnsi"/>
          <w:sz w:val="16"/>
          <w:szCs w:val="16"/>
        </w:rPr>
        <w:t xml:space="preserve">Názov študijného programu a číslo podľa registra študijných programov. </w:t>
        <w:br/>
      </w:r>
      <w:r>
        <w:rPr>
          <w:rFonts w:cs="Calibri" w:cstheme="minorHAnsi"/>
          <w:i/>
          <w:sz w:val="16"/>
          <w:szCs w:val="16"/>
        </w:rPr>
        <w:t xml:space="preserve">          učiteľstvo výtvarného umenia (v kombinácii) (102181)</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Stupeň vysokoškolského štúdia a ISCED-F kód stupňa vzdelávania.</w:t>
        <w:br/>
        <w:t xml:space="preserve">        </w:t>
      </w:r>
      <w:r>
        <w:rPr>
          <w:rFonts w:cs="Calibri" w:cstheme="minorHAnsi"/>
          <w:i/>
          <w:sz w:val="16"/>
          <w:szCs w:val="16"/>
        </w:rPr>
        <w:t>2.. stupeň ( Mgr..) ISCED-F kód 767</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 xml:space="preserve">Miesto/-a uskutočňovania študijného programu. </w:t>
        <w:br/>
        <w:t xml:space="preserve">          </w:t>
      </w:r>
      <w:r>
        <w:rPr>
          <w:rFonts w:cs="Calibri" w:cstheme="minorHAnsi"/>
          <w:i/>
          <w:sz w:val="16"/>
          <w:szCs w:val="16"/>
        </w:rPr>
        <w:t>Prešov, 17. novembra č. 1</w:t>
      </w:r>
    </w:p>
    <w:p>
      <w:pPr>
        <w:pStyle w:val="ListParagraph"/>
        <w:numPr>
          <w:ilvl w:val="0"/>
          <w:numId w:val="2"/>
        </w:numPr>
        <w:spacing w:lineRule="auto" w:line="240" w:before="0" w:after="0"/>
        <w:contextualSpacing/>
        <w:rPr>
          <w:rFonts w:eastAsia="Calibri" w:cs="Calibri"/>
          <w:i/>
          <w:i/>
          <w:iCs/>
          <w:color w:val="000000" w:themeColor="text1"/>
          <w:sz w:val="16"/>
          <w:szCs w:val="16"/>
        </w:rPr>
      </w:pPr>
      <w:r>
        <w:rPr>
          <w:rFonts w:cs="Calibri" w:cstheme="minorHAnsi"/>
          <w:sz w:val="16"/>
          <w:szCs w:val="16"/>
        </w:rPr>
        <w:t xml:space="preserve">Názov a číslo študijného odboru, v ktorom sa absolvovaním študijného programu získa vysokoškolské vzdelanie, alebo kombinácia dvoch študijných odborov, v ktorých sa absolvovaním študijného programu získa vysokoškolské vzdelanie, </w:t>
      </w:r>
      <w:r>
        <w:rPr>
          <w:rFonts w:cs="Calibri" w:cstheme="minorHAnsi"/>
          <w:color w:val="000000"/>
          <w:sz w:val="16"/>
          <w:szCs w:val="16"/>
        </w:rPr>
        <w:t>ISCED-F kódy odboru/ odborov</w:t>
      </w:r>
      <w:r>
        <w:rPr>
          <w:rStyle w:val="FootnoteAnchor"/>
          <w:rFonts w:cs="Calibri" w:cstheme="minorHAnsi"/>
          <w:color w:val="000000"/>
          <w:szCs w:val="16"/>
        </w:rPr>
        <w:footnoteReference w:id="4"/>
      </w:r>
      <w:r>
        <w:rPr>
          <w:rFonts w:cs="Calibri" w:cstheme="minorHAnsi"/>
          <w:color w:val="000000"/>
          <w:sz w:val="16"/>
          <w:szCs w:val="16"/>
        </w:rPr>
        <w:t xml:space="preserve">. </w:t>
      </w:r>
    </w:p>
    <w:p>
      <w:pPr>
        <w:pStyle w:val="ListParagraph"/>
        <w:spacing w:lineRule="auto" w:line="240" w:before="0" w:after="0"/>
        <w:ind w:left="360" w:hanging="0"/>
        <w:contextualSpacing/>
        <w:rPr>
          <w:rFonts w:eastAsia="Calibri" w:cs="Calibri"/>
          <w:i/>
          <w:i/>
          <w:iCs/>
          <w:color w:val="000000" w:themeColor="text1"/>
          <w:sz w:val="16"/>
          <w:szCs w:val="16"/>
        </w:rPr>
      </w:pPr>
      <w:r>
        <w:rPr>
          <w:rFonts w:eastAsia="Calibri" w:cs="Calibri"/>
          <w:i/>
          <w:iCs/>
          <w:color w:val="000000" w:themeColor="text1"/>
          <w:sz w:val="16"/>
          <w:szCs w:val="16"/>
        </w:rPr>
        <w:t>učiteľstvo a pedagogické vedy 7605T00, ISCED-F kód 767  0114 Príprava pre učiteľov s predmetovou špecializáci</w:t>
      </w:r>
      <w:r>
        <w:rPr>
          <w:rFonts w:cs="Calibri" w:cstheme="minorHAnsi"/>
          <w:color w:val="000000"/>
          <w:sz w:val="16"/>
          <w:szCs w:val="16"/>
        </w:rPr>
        <w:t xml:space="preserve">ou         </w:t>
      </w:r>
    </w:p>
    <w:p>
      <w:pPr>
        <w:pStyle w:val="ListParagraph"/>
        <w:numPr>
          <w:ilvl w:val="0"/>
          <w:numId w:val="2"/>
        </w:numPr>
        <w:spacing w:lineRule="auto" w:line="240" w:before="0" w:after="0"/>
        <w:contextualSpacing/>
        <w:jc w:val="both"/>
        <w:rPr>
          <w:rFonts w:eastAsia="Calibri" w:cs="Calibri"/>
          <w:i/>
          <w:i/>
          <w:iCs/>
          <w:color w:val="000000" w:themeColor="text1"/>
          <w:sz w:val="16"/>
          <w:szCs w:val="16"/>
        </w:rPr>
      </w:pPr>
      <w:r>
        <w:rPr>
          <w:rFonts w:cs="Calibri" w:cstheme="minorHAnsi"/>
          <w:color w:val="000000"/>
          <w:sz w:val="16"/>
          <w:szCs w:val="16"/>
        </w:rPr>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program, interdisciplinárne štúdiá.</w:t>
      </w:r>
      <w:r>
        <w:rPr>
          <w:rFonts w:eastAsia="Calibri" w:cs="Calibri"/>
          <w:i/>
          <w:iCs/>
          <w:color w:val="000000" w:themeColor="text1"/>
          <w:sz w:val="16"/>
          <w:szCs w:val="16"/>
        </w:rPr>
        <w:t xml:space="preserve"> </w:t>
      </w:r>
    </w:p>
    <w:p>
      <w:pPr>
        <w:pStyle w:val="Normal"/>
        <w:spacing w:lineRule="auto" w:line="240" w:before="0" w:after="0"/>
        <w:ind w:firstLine="708"/>
        <w:jc w:val="both"/>
        <w:rPr>
          <w:rFonts w:eastAsia="Calibri" w:cs="Calibri"/>
          <w:i/>
          <w:i/>
          <w:iCs/>
          <w:color w:val="000000" w:themeColor="text1"/>
          <w:sz w:val="16"/>
          <w:szCs w:val="16"/>
        </w:rPr>
      </w:pPr>
      <w:r>
        <w:rPr>
          <w:rFonts w:eastAsia="Calibri" w:cs="Calibri"/>
          <w:i/>
          <w:iCs/>
          <w:color w:val="000000" w:themeColor="text1"/>
          <w:sz w:val="16"/>
          <w:szCs w:val="16"/>
        </w:rPr>
        <w:t xml:space="preserve">Učiteľský kombinačný študijný program; aprobácie: napr. slovenský jazyk, ruský jazyk, nemecký jazyk, technická výchova, </w:t>
        <w:tab/>
        <w:t xml:space="preserve">geografia, dejepis, biológia, telesná výchova a šport, hudobné umenie </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Udeľovaný akademický titul.</w:t>
        <w:br/>
        <w:t xml:space="preserve">         </w:t>
      </w:r>
      <w:r>
        <w:rPr>
          <w:rFonts w:cs="Calibri" w:cstheme="minorHAnsi"/>
          <w:i/>
          <w:sz w:val="16"/>
          <w:szCs w:val="16"/>
        </w:rPr>
        <w:t>Mgr.. (magister)</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Forma štúdia</w:t>
      </w:r>
      <w:r>
        <w:rPr>
          <w:rStyle w:val="FootnoteAnchor"/>
          <w:rFonts w:cs="Calibri" w:cstheme="minorHAnsi"/>
          <w:szCs w:val="16"/>
        </w:rPr>
        <w:footnoteReference w:id="5"/>
      </w:r>
      <w:r>
        <w:rPr>
          <w:rFonts w:cs="Calibri" w:cstheme="minorHAnsi"/>
          <w:sz w:val="16"/>
          <w:szCs w:val="16"/>
        </w:rPr>
        <w:t xml:space="preserve">. </w:t>
        <w:br/>
        <w:t xml:space="preserve">           </w:t>
      </w:r>
      <w:r>
        <w:rPr>
          <w:rFonts w:cs="Calibri" w:cstheme="minorHAnsi"/>
          <w:i/>
          <w:sz w:val="16"/>
          <w:szCs w:val="16"/>
        </w:rPr>
        <w:t>Denná</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Pri spoločných študijných programoch spolupracujúce vysoké školy a vymedzenie, ktoré študijné povinnosti plní študent na ktorej vysokej škole (§ 54a zákona o vysokých školách).</w:t>
      </w:r>
    </w:p>
    <w:p>
      <w:pPr>
        <w:pStyle w:val="ListParagraph"/>
        <w:numPr>
          <w:ilvl w:val="0"/>
          <w:numId w:val="2"/>
        </w:numPr>
        <w:spacing w:lineRule="auto" w:line="240" w:before="0" w:after="0"/>
        <w:contextualSpacing/>
        <w:rPr>
          <w:rFonts w:cs="Calibri" w:cstheme="minorHAnsi"/>
          <w:i/>
          <w:i/>
          <w:iCs/>
          <w:sz w:val="16"/>
          <w:szCs w:val="16"/>
        </w:rPr>
      </w:pPr>
      <w:r>
        <w:rPr>
          <w:rFonts w:cs="Calibri" w:cstheme="minorHAnsi"/>
          <w:sz w:val="16"/>
          <w:szCs w:val="16"/>
        </w:rPr>
        <w:t>Jazyk alebo jazyky, v ktorých sa študijný program uskutočňuje</w:t>
      </w:r>
      <w:r>
        <w:rPr>
          <w:rStyle w:val="FootnoteAnchor"/>
          <w:rFonts w:cs="Calibri" w:cstheme="minorHAnsi"/>
          <w:szCs w:val="16"/>
        </w:rPr>
        <w:footnoteReference w:id="6"/>
      </w:r>
      <w:r>
        <w:rPr>
          <w:rFonts w:cs="Calibri" w:cstheme="minorHAnsi"/>
          <w:sz w:val="16"/>
          <w:szCs w:val="16"/>
        </w:rPr>
        <w:t xml:space="preserve">. </w:t>
        <w:br/>
        <w:t xml:space="preserve">          </w:t>
      </w:r>
      <w:r>
        <w:rPr>
          <w:rFonts w:cs="Calibri" w:cstheme="minorHAnsi"/>
          <w:i/>
          <w:sz w:val="16"/>
          <w:szCs w:val="16"/>
        </w:rPr>
        <w:t>slovenský jazyk</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Štandardná dĺžka štúdia vyjadrená v akademických rokoch.</w:t>
        <w:br/>
        <w:t xml:space="preserve">        2</w:t>
      </w:r>
      <w:r>
        <w:rPr>
          <w:rFonts w:cs="Calibri" w:cstheme="minorHAnsi"/>
          <w:i/>
          <w:sz w:val="16"/>
          <w:szCs w:val="16"/>
        </w:rPr>
        <w:t xml:space="preserve"> roky</w:t>
      </w:r>
    </w:p>
    <w:p>
      <w:pPr>
        <w:pStyle w:val="ListParagraph"/>
        <w:numPr>
          <w:ilvl w:val="0"/>
          <w:numId w:val="2"/>
        </w:numPr>
        <w:spacing w:lineRule="auto" w:line="240" w:before="0" w:after="0"/>
        <w:contextualSpacing/>
        <w:rPr>
          <w:rFonts w:cs="Calibri" w:cstheme="minorHAnsi"/>
          <w:sz w:val="16"/>
          <w:szCs w:val="16"/>
        </w:rPr>
      </w:pPr>
      <w:r>
        <w:rPr>
          <w:rFonts w:cs="Calibri" w:cstheme="minorHAnsi"/>
          <w:sz w:val="16"/>
          <w:szCs w:val="16"/>
        </w:rPr>
        <w:t>Kapacita študijného programu (plánovaný počet študentov), skutočný počet uchádzačov a počet študentov.</w:t>
        <w:br/>
      </w:r>
      <w:r>
        <w:rPr>
          <w:rFonts w:eastAsia="Calibri" w:cs="Calibri"/>
          <w:i/>
          <w:iCs/>
          <w:color w:val="000000" w:themeColor="text1"/>
          <w:sz w:val="16"/>
          <w:szCs w:val="16"/>
        </w:rPr>
        <w:t>Kapacita pri dennej forme Mgr. štúdia je do 20  študentov. Skutočný počet uchádzačov v roku 2021 bol  12 uchádzačov, v roku 2020/21 je zapísaných  je 12 študentov</w:t>
      </w:r>
      <w:r>
        <w:rPr>
          <w:rFonts w:cs="Calibri" w:cstheme="minorHAnsi"/>
          <w:sz w:val="16"/>
          <w:szCs w:val="16"/>
        </w:rPr>
        <w:t xml:space="preserve"> </w:t>
      </w:r>
    </w:p>
    <w:p>
      <w:pPr>
        <w:pStyle w:val="ListParagraph"/>
        <w:spacing w:lineRule="auto" w:line="240" w:before="0" w:after="0"/>
        <w:ind w:left="360" w:hanging="0"/>
        <w:contextualSpacing/>
        <w:rPr>
          <w:rFonts w:cs="Calibri" w:cstheme="minorHAnsi"/>
          <w:sz w:val="16"/>
          <w:szCs w:val="16"/>
        </w:rPr>
      </w:pPr>
      <w:r>
        <w:rPr>
          <w:rFonts w:cs="Calibri" w:cstheme="minorHAnsi"/>
          <w:sz w:val="16"/>
          <w:szCs w:val="16"/>
        </w:rPr>
      </w:r>
    </w:p>
    <w:p>
      <w:pPr>
        <w:pStyle w:val="ListParagraph"/>
        <w:numPr>
          <w:ilvl w:val="0"/>
          <w:numId w:val="1"/>
        </w:numPr>
        <w:spacing w:lineRule="auto" w:line="240" w:before="0" w:after="0"/>
        <w:contextualSpacing/>
        <w:rPr>
          <w:rFonts w:cs="Calibri" w:cstheme="minorHAnsi"/>
          <w:b/>
          <w:b/>
          <w:bCs/>
          <w:sz w:val="16"/>
          <w:szCs w:val="16"/>
        </w:rPr>
      </w:pPr>
      <w:r>
        <w:rPr>
          <w:rFonts w:cs="Calibri" w:cstheme="minorHAnsi"/>
          <w:b/>
          <w:bCs/>
          <w:sz w:val="16"/>
          <w:szCs w:val="16"/>
        </w:rPr>
        <w:t xml:space="preserve">Profil absolventa a ciele vzdelávania </w:t>
      </w:r>
    </w:p>
    <w:p>
      <w:pPr>
        <w:pStyle w:val="ListParagraph"/>
        <w:numPr>
          <w:ilvl w:val="0"/>
          <w:numId w:val="5"/>
        </w:numPr>
        <w:spacing w:lineRule="auto" w:line="240" w:before="0" w:after="0"/>
        <w:contextualSpacing/>
        <w:jc w:val="both"/>
        <w:rPr>
          <w:rFonts w:cs="Calibri" w:cstheme="minorHAnsi"/>
          <w:color w:val="000000"/>
          <w:sz w:val="16"/>
          <w:szCs w:val="16"/>
        </w:rPr>
      </w:pPr>
      <w:r>
        <w:rPr>
          <w:rFonts w:cs="Calibri" w:cstheme="minorHAnsi"/>
          <w:color w:val="000000"/>
          <w:sz w:val="16"/>
          <w:szCs w:val="16"/>
        </w:rPr>
        <w:t xml:space="preserve">Vysoká škola popíše ciele vzdelávania študijného programu ako </w:t>
      </w:r>
      <w:r>
        <w:rPr>
          <w:rFonts w:cs="Calibri" w:cstheme="minorHAnsi"/>
          <w:sz w:val="16"/>
          <w:szCs w:val="16"/>
        </w:rPr>
        <w:t xml:space="preserve">schopnosti </w:t>
      </w:r>
      <w:r>
        <w:rPr>
          <w:rFonts w:cs="Calibri" w:cstheme="minorHAnsi"/>
          <w:color w:val="000000"/>
          <w:sz w:val="16"/>
          <w:szCs w:val="16"/>
        </w:rPr>
        <w:t>študenta v čase ukončenia študijného programu a hlavné výstupy vzdelávania</w:t>
      </w:r>
      <w:r>
        <w:rPr>
          <w:rStyle w:val="FootnoteAnchor"/>
          <w:rFonts w:cs="Calibri" w:cstheme="minorHAnsi"/>
          <w:color w:val="000000"/>
          <w:szCs w:val="16"/>
        </w:rPr>
        <w:footnoteReference w:id="7"/>
      </w:r>
      <w:r>
        <w:rPr>
          <w:rFonts w:cs="Calibri" w:cstheme="minorHAnsi"/>
          <w:color w:val="000000"/>
          <w:sz w:val="16"/>
          <w:szCs w:val="16"/>
        </w:rPr>
        <w:t xml:space="preserve">. </w:t>
      </w:r>
    </w:p>
    <w:p>
      <w:pPr>
        <w:pStyle w:val="Normal"/>
        <w:suppressAutoHyphens w:val="true"/>
        <w:spacing w:lineRule="auto" w:line="240" w:before="0" w:after="0"/>
        <w:ind w:left="360" w:hanging="0"/>
        <w:jc w:val="both"/>
        <w:rPr>
          <w:rFonts w:cs="Calibri" w:cstheme="minorHAnsi"/>
          <w:sz w:val="16"/>
          <w:szCs w:val="16"/>
        </w:rPr>
      </w:pPr>
      <w:r>
        <w:rPr>
          <w:rFonts w:cs="Calibri" w:cstheme="minorHAnsi"/>
          <w:color w:val="000000"/>
          <w:sz w:val="16"/>
          <w:szCs w:val="16"/>
        </w:rPr>
        <w:t xml:space="preserve"> </w:t>
      </w:r>
      <w:r>
        <w:rPr>
          <w:rFonts w:cs="Calibri" w:cstheme="minorHAnsi"/>
          <w:b/>
          <w:sz w:val="16"/>
          <w:szCs w:val="16"/>
          <w:lang w:eastAsia="sk-SK"/>
        </w:rPr>
        <w:t>Absolvent 2. stupňa</w:t>
      </w:r>
      <w:r>
        <w:rPr>
          <w:rFonts w:cs="Calibri" w:cstheme="minorHAnsi"/>
          <w:sz w:val="16"/>
          <w:szCs w:val="16"/>
          <w:lang w:eastAsia="sk-SK"/>
        </w:rPr>
        <w:t xml:space="preserve"> vysokoškolského vzdelávania študijného programu Učiteľstvo výtvarného umenia (v kombinácii) v študijnom odbore Učiteľstvo a pedagogické vedy je odborne pripravený vyučovať v ZŠ a v ZUŠ vo všeobecno-vzdelávacích štátnych, cirkevných i súkromných školách, ako aj výtvarné predmety na stredných školách a  na 8-ročných gymnáziách a kultúrno–záujmových inštitúciách. </w:t>
      </w:r>
    </w:p>
    <w:p>
      <w:pPr>
        <w:pStyle w:val="BodyTextIndent2"/>
        <w:spacing w:lineRule="auto" w:line="240" w:before="0" w:after="0"/>
        <w:ind w:left="360" w:hanging="0"/>
        <w:jc w:val="both"/>
        <w:rPr>
          <w:rFonts w:ascii="Calibri" w:hAnsi="Calibri" w:cs="Calibri" w:asciiTheme="minorHAnsi" w:cstheme="minorHAnsi" w:hAnsiTheme="minorHAnsi"/>
          <w:sz w:val="16"/>
          <w:szCs w:val="16"/>
        </w:rPr>
      </w:pPr>
      <w:r>
        <w:rPr>
          <w:rFonts w:cs="Calibri" w:cstheme="minorHAnsi"/>
          <w:sz w:val="16"/>
          <w:szCs w:val="16"/>
        </w:rPr>
        <w:t xml:space="preserve">Disponuje umenovednými a špecifickými odborovo-didaktickými kompetenciami. Nadobudol odbornú a pedagogickú spôsobilosť plánovať, organizovať a viesť edukačný proces vo výtvarnej výchove vo všetkých jej formách a stupňoch vzdelávania.  Jeho odborná profesionálna stránka má estetické, sociálne a emocionálne kultúrne dimenzie. </w:t>
      </w:r>
      <w:r>
        <w:rPr>
          <w:rFonts w:cs="Calibri" w:cstheme="minorHAnsi"/>
          <w:sz w:val="16"/>
          <w:szCs w:val="16"/>
          <w:lang w:eastAsia="x-none"/>
        </w:rPr>
        <w:t xml:space="preserve">Ovláda </w:t>
      </w:r>
      <w:r>
        <w:rPr>
          <w:rFonts w:cs="Calibri" w:cstheme="minorHAnsi"/>
          <w:sz w:val="16"/>
          <w:szCs w:val="16"/>
          <w:lang w:eastAsia="sk-SK"/>
        </w:rPr>
        <w:t>legislatívne súvislosti výchovy a vzdelávania, d</w:t>
      </w:r>
      <w:r>
        <w:rPr>
          <w:rFonts w:cs="Calibri" w:cstheme="minorHAnsi"/>
          <w:sz w:val="16"/>
          <w:szCs w:val="16"/>
        </w:rPr>
        <w:t xml:space="preserve">okáže adaptovať legislatívne dokumenty ŠVP výtvarnej výchovy do ŠVP </w:t>
      </w:r>
      <w:r>
        <w:rPr>
          <w:rFonts w:cs="Calibri" w:cstheme="minorHAnsi"/>
          <w:sz w:val="16"/>
          <w:szCs w:val="16"/>
          <w:lang w:eastAsia="sk-SK"/>
        </w:rPr>
        <w:t xml:space="preserve">a využíva digitálne kompetencie učiteľa. </w:t>
      </w:r>
      <w:r>
        <w:rPr>
          <w:rFonts w:cs="Calibri" w:cstheme="minorHAnsi"/>
          <w:sz w:val="16"/>
          <w:szCs w:val="16"/>
        </w:rPr>
        <w:t xml:space="preserve">Je tolerantný, solidárny, empatický, vnímavý pre kultúrne rozdiely a potreby žiakov aj so špeciálnymi výchovno-vzdelávacími potrebami.  </w:t>
      </w:r>
    </w:p>
    <w:p>
      <w:pPr>
        <w:pStyle w:val="Normal"/>
        <w:suppressAutoHyphens w:val="true"/>
        <w:spacing w:lineRule="auto" w:line="240" w:before="0" w:after="0"/>
        <w:ind w:left="360" w:hanging="0"/>
        <w:jc w:val="both"/>
        <w:rPr>
          <w:rFonts w:cs="Calibri" w:cstheme="minorHAnsi"/>
          <w:i/>
          <w:i/>
          <w:sz w:val="16"/>
          <w:szCs w:val="16"/>
        </w:rPr>
      </w:pPr>
      <w:r>
        <w:rPr>
          <w:rFonts w:cs="Calibri" w:cstheme="minorHAnsi"/>
          <w:i/>
          <w:sz w:val="16"/>
          <w:szCs w:val="16"/>
        </w:rPr>
      </w:r>
    </w:p>
    <w:p>
      <w:pPr>
        <w:pStyle w:val="BodyTextIndent2"/>
        <w:spacing w:lineRule="auto" w:line="240" w:before="0" w:after="0"/>
        <w:ind w:left="0" w:hanging="0"/>
        <w:jc w:val="both"/>
        <w:rPr>
          <w:rFonts w:ascii="Times New Roman" w:hAnsi="Times New Roman"/>
          <w:i/>
          <w:i/>
          <w:sz w:val="16"/>
          <w:szCs w:val="16"/>
        </w:rPr>
      </w:pPr>
      <w:r>
        <w:rPr>
          <w:rFonts w:ascii="Times New Roman" w:hAnsi="Times New Roman"/>
          <w:i/>
          <w:sz w:val="16"/>
          <w:szCs w:val="16"/>
        </w:rPr>
      </w:r>
    </w:p>
    <w:p>
      <w:pPr>
        <w:pStyle w:val="Footer"/>
        <w:tabs>
          <w:tab w:val="left" w:pos="708" w:leader="none"/>
          <w:tab w:val="center" w:pos="4536" w:leader="none"/>
          <w:tab w:val="right" w:pos="9072" w:leader="none"/>
        </w:tabs>
        <w:ind w:left="360" w:hanging="0"/>
        <w:rPr>
          <w:b/>
          <w:b/>
          <w:i/>
          <w:i/>
          <w:sz w:val="16"/>
          <w:szCs w:val="16"/>
        </w:rPr>
      </w:pPr>
      <w:r>
        <w:rPr>
          <w:b/>
          <w:i/>
          <w:sz w:val="16"/>
          <w:szCs w:val="16"/>
        </w:rPr>
        <w:t>Teoretické vedomosti absolventa</w:t>
      </w:r>
    </w:p>
    <w:p>
      <w:pPr>
        <w:pStyle w:val="Footer"/>
        <w:numPr>
          <w:ilvl w:val="0"/>
          <w:numId w:val="8"/>
        </w:numPr>
        <w:tabs>
          <w:tab w:val="left" w:pos="708" w:leader="none"/>
          <w:tab w:val="center" w:pos="4536" w:leader="none"/>
          <w:tab w:val="right" w:pos="9072" w:leader="none"/>
        </w:tabs>
        <w:ind w:left="1068" w:hanging="360"/>
        <w:jc w:val="both"/>
        <w:rPr>
          <w:rFonts w:cs="Calibri" w:cstheme="minorHAnsi"/>
          <w:iCs/>
          <w:sz w:val="16"/>
          <w:szCs w:val="16"/>
        </w:rPr>
      </w:pPr>
      <w:r>
        <w:rPr>
          <w:rFonts w:cs="Calibri" w:cstheme="minorHAnsi"/>
          <w:iCs/>
          <w:sz w:val="16"/>
          <w:szCs w:val="16"/>
        </w:rPr>
        <w:t>ovláda umenovedné vedomosti: historické, teoretické, analytické,</w:t>
      </w:r>
    </w:p>
    <w:p>
      <w:pPr>
        <w:pStyle w:val="Footer"/>
        <w:numPr>
          <w:ilvl w:val="0"/>
          <w:numId w:val="8"/>
        </w:numPr>
        <w:tabs>
          <w:tab w:val="left" w:pos="708" w:leader="none"/>
          <w:tab w:val="center" w:pos="4536" w:leader="none"/>
          <w:tab w:val="right" w:pos="9072" w:leader="none"/>
        </w:tabs>
        <w:ind w:left="1068" w:hanging="360"/>
        <w:jc w:val="both"/>
        <w:rPr>
          <w:rFonts w:cs="Calibri" w:cstheme="minorHAnsi"/>
          <w:iCs/>
          <w:sz w:val="16"/>
          <w:szCs w:val="16"/>
        </w:rPr>
      </w:pPr>
      <w:r>
        <w:rPr>
          <w:rFonts w:cs="Calibri" w:cstheme="minorHAnsi"/>
          <w:iCs/>
          <w:sz w:val="16"/>
          <w:szCs w:val="16"/>
          <w:lang w:eastAsia="x-none"/>
        </w:rPr>
        <w:t xml:space="preserve">orientuje sa v oblasti dejín výtvarného umenia, </w:t>
      </w:r>
    </w:p>
    <w:p>
      <w:pPr>
        <w:pStyle w:val="Footer"/>
        <w:numPr>
          <w:ilvl w:val="0"/>
          <w:numId w:val="8"/>
        </w:numPr>
        <w:tabs>
          <w:tab w:val="left" w:pos="708" w:leader="none"/>
          <w:tab w:val="center" w:pos="4536" w:leader="none"/>
          <w:tab w:val="right" w:pos="9072" w:leader="none"/>
        </w:tabs>
        <w:ind w:left="1068" w:hanging="360"/>
        <w:jc w:val="both"/>
        <w:rPr>
          <w:rFonts w:cs="Calibri" w:cstheme="minorHAnsi"/>
          <w:iCs/>
          <w:sz w:val="16"/>
          <w:szCs w:val="16"/>
        </w:rPr>
      </w:pPr>
      <w:r>
        <w:rPr>
          <w:rFonts w:cs="Calibri" w:cstheme="minorHAnsi"/>
          <w:iCs/>
          <w:sz w:val="16"/>
          <w:szCs w:val="16"/>
        </w:rPr>
        <w:t xml:space="preserve">nadobudol vedomosti z  výtvarnej pedagogiky, estetiky, ovláda výtvarno-didaktické koncepcie, </w:t>
      </w:r>
    </w:p>
    <w:p>
      <w:pPr>
        <w:pStyle w:val="Footer"/>
        <w:numPr>
          <w:ilvl w:val="0"/>
          <w:numId w:val="8"/>
        </w:numPr>
        <w:tabs>
          <w:tab w:val="left" w:pos="708" w:leader="none"/>
          <w:tab w:val="center" w:pos="4536" w:leader="none"/>
          <w:tab w:val="right" w:pos="9072" w:leader="none"/>
        </w:tabs>
        <w:ind w:left="1068" w:hanging="360"/>
        <w:jc w:val="both"/>
        <w:rPr>
          <w:rFonts w:cs="Calibri" w:cstheme="minorHAnsi"/>
          <w:iCs/>
          <w:sz w:val="16"/>
          <w:szCs w:val="16"/>
        </w:rPr>
      </w:pPr>
      <w:r>
        <w:rPr>
          <w:rFonts w:cs="Calibri" w:cstheme="minorHAnsi"/>
          <w:iCs/>
          <w:sz w:val="16"/>
          <w:szCs w:val="16"/>
        </w:rPr>
        <w:t>vie tvoriť vhodné výtvarné metodiky a didaktické modely všetkých typov  vyučovacích hodín,</w:t>
      </w:r>
    </w:p>
    <w:p>
      <w:pPr>
        <w:pStyle w:val="Footer"/>
        <w:numPr>
          <w:ilvl w:val="0"/>
          <w:numId w:val="8"/>
        </w:numPr>
        <w:tabs>
          <w:tab w:val="left" w:pos="708" w:leader="none"/>
          <w:tab w:val="center" w:pos="4536" w:leader="none"/>
          <w:tab w:val="right" w:pos="9072" w:leader="none"/>
        </w:tabs>
        <w:ind w:left="1068" w:hanging="360"/>
        <w:jc w:val="both"/>
        <w:rPr>
          <w:rFonts w:cs="Calibri" w:cstheme="minorHAnsi"/>
          <w:iCs/>
          <w:sz w:val="16"/>
          <w:szCs w:val="16"/>
        </w:rPr>
      </w:pPr>
      <w:r>
        <w:rPr>
          <w:rFonts w:cs="Calibri" w:cstheme="minorHAnsi"/>
          <w:iCs/>
          <w:sz w:val="16"/>
          <w:szCs w:val="16"/>
        </w:rPr>
        <w:t>ovláda najnovšiu výtvarno-edukačnú legislatívu a vie sa v nej orientovať,</w:t>
      </w:r>
    </w:p>
    <w:p>
      <w:pPr>
        <w:pStyle w:val="Footer"/>
        <w:numPr>
          <w:ilvl w:val="0"/>
          <w:numId w:val="8"/>
        </w:numPr>
        <w:tabs>
          <w:tab w:val="left" w:pos="708" w:leader="none"/>
          <w:tab w:val="center" w:pos="4536" w:leader="none"/>
          <w:tab w:val="right" w:pos="9072" w:leader="none"/>
        </w:tabs>
        <w:ind w:left="1068" w:hanging="360"/>
        <w:jc w:val="both"/>
        <w:rPr>
          <w:rFonts w:cs="Calibri" w:cstheme="minorHAnsi"/>
          <w:iCs/>
          <w:sz w:val="16"/>
          <w:szCs w:val="16"/>
        </w:rPr>
      </w:pPr>
      <w:r>
        <w:rPr>
          <w:rFonts w:cs="Calibri" w:cstheme="minorHAnsi"/>
          <w:iCs/>
          <w:sz w:val="16"/>
          <w:szCs w:val="16"/>
        </w:rPr>
        <w:t>disponuje poznatkami o výtvarnej vizuálnej kultúre a výtvarnom umeleckom školstve v regióne a na Slovensku.</w:t>
      </w:r>
    </w:p>
    <w:p>
      <w:pPr>
        <w:pStyle w:val="Footer"/>
        <w:tabs>
          <w:tab w:val="left" w:pos="708" w:leader="none"/>
          <w:tab w:val="center" w:pos="4536" w:leader="none"/>
          <w:tab w:val="right" w:pos="9072" w:leader="none"/>
        </w:tabs>
        <w:jc w:val="both"/>
        <w:rPr>
          <w:i/>
          <w:i/>
          <w:sz w:val="16"/>
          <w:szCs w:val="16"/>
        </w:rPr>
      </w:pPr>
      <w:r>
        <w:rPr>
          <w:i/>
          <w:sz w:val="16"/>
          <w:szCs w:val="16"/>
        </w:rPr>
      </w:r>
    </w:p>
    <w:p>
      <w:pPr>
        <w:pStyle w:val="Footer"/>
        <w:tabs>
          <w:tab w:val="left" w:pos="708" w:leader="none"/>
          <w:tab w:val="center" w:pos="4536" w:leader="none"/>
          <w:tab w:val="right" w:pos="9072" w:leader="none"/>
        </w:tabs>
        <w:ind w:left="360" w:hanging="0"/>
        <w:rPr>
          <w:b/>
          <w:b/>
          <w:i/>
          <w:i/>
          <w:sz w:val="16"/>
          <w:szCs w:val="16"/>
        </w:rPr>
      </w:pPr>
      <w:r>
        <w:rPr>
          <w:b/>
          <w:i/>
          <w:sz w:val="16"/>
          <w:szCs w:val="16"/>
        </w:rPr>
        <w:t>Praktické zručnosti a schopnosti absolventa:</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disponuje potrebným stupňom výtvarnej tvorivosti v kontexte integratívnej výtvarnej pedagogiky a polyestetickej výchovy,</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ovláda, aplikuje a realizuje interpretačné výtvarno remeselné schopnosti, zručnosti a spôsobilosti – kresbu, grafiku, maľbu, modelovanie, s výstupmi na verejných  súťažiach,</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dokáže pripraviť a naštudovať umelecké výtvarné výstavy s prvkami polyestetiky ,  súčasťou praktickej štátnej záverečnej skúšky je tvorba v kresbe maľbe a grafike,</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vie aplikovať organizačno-manažérske  zásady  a všeobecné didaktické postupy v edukačných školských, mimo vyučovacích a mimoškolských aktivitách výtvarno vizuálneho charakteru,</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disponuje potrebným stupňom výtvarnej tvorivosti, vie aranžovať improvizovať,</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ovláda praktické zručnosti a metodické postupy vyplývajúce z požiadaviek centier voľného času, kultúrnych inštitúcií,</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 xml:space="preserve">vie kreatívne formovať vlastnú riadiacu činnosť vo výtvarnom procese a implementovať nové poznatky do procesu záujmovej výtvarnej výchovy aj zo zahraničia, s dôrazom na výchovu vzťahu k výtvarnému umeniu a celkovému estetickému vnímaniu, </w:t>
      </w:r>
    </w:p>
    <w:p>
      <w:pPr>
        <w:pStyle w:val="Footer"/>
        <w:numPr>
          <w:ilvl w:val="0"/>
          <w:numId w:val="9"/>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 xml:space="preserve">ovláda vybrané vizuálne-digitálne programy. </w:t>
      </w:r>
    </w:p>
    <w:p>
      <w:pPr>
        <w:pStyle w:val="Footer"/>
        <w:tabs>
          <w:tab w:val="left" w:pos="708" w:leader="none"/>
          <w:tab w:val="center" w:pos="4536" w:leader="none"/>
          <w:tab w:val="right" w:pos="9072" w:leader="none"/>
        </w:tabs>
        <w:ind w:left="720" w:hanging="0"/>
        <w:jc w:val="both"/>
        <w:rPr>
          <w:i/>
          <w:i/>
          <w:sz w:val="16"/>
          <w:szCs w:val="16"/>
        </w:rPr>
      </w:pPr>
      <w:r>
        <w:rPr>
          <w:i/>
          <w:sz w:val="16"/>
          <w:szCs w:val="16"/>
        </w:rPr>
      </w:r>
    </w:p>
    <w:p>
      <w:pPr>
        <w:pStyle w:val="Footer"/>
        <w:tabs>
          <w:tab w:val="left" w:pos="708" w:leader="none"/>
          <w:tab w:val="center" w:pos="4536" w:leader="none"/>
          <w:tab w:val="right" w:pos="9072" w:leader="none"/>
        </w:tabs>
        <w:ind w:left="360" w:hanging="0"/>
        <w:jc w:val="both"/>
        <w:rPr>
          <w:b/>
          <w:b/>
          <w:i/>
          <w:i/>
          <w:sz w:val="16"/>
          <w:szCs w:val="16"/>
        </w:rPr>
      </w:pPr>
      <w:r>
        <w:rPr>
          <w:b/>
          <w:i/>
          <w:sz w:val="16"/>
          <w:szCs w:val="16"/>
        </w:rPr>
        <w:t>Doplňujúce vedomosti, schopnosti a zručnosti absolventa:</w:t>
      </w:r>
    </w:p>
    <w:p>
      <w:pPr>
        <w:pStyle w:val="Footer"/>
        <w:numPr>
          <w:ilvl w:val="0"/>
          <w:numId w:val="10"/>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vie pracovať s modernou didaktickou technikou, informačno-komunikačnými programami v rámci edukácie</w:t>
      </w:r>
    </w:p>
    <w:p>
      <w:pPr>
        <w:pStyle w:val="Footer"/>
        <w:numPr>
          <w:ilvl w:val="0"/>
          <w:numId w:val="10"/>
        </w:numPr>
        <w:tabs>
          <w:tab w:val="left" w:pos="708" w:leader="none"/>
          <w:tab w:val="center" w:pos="4536" w:leader="none"/>
          <w:tab w:val="right" w:pos="9072" w:leader="none"/>
        </w:tabs>
        <w:ind w:left="1068" w:hanging="360"/>
        <w:jc w:val="both"/>
        <w:rPr>
          <w:rFonts w:cs="Calibri" w:cstheme="minorHAnsi"/>
          <w:sz w:val="16"/>
          <w:szCs w:val="16"/>
        </w:rPr>
      </w:pPr>
      <w:r>
        <w:rPr>
          <w:rFonts w:cs="Calibri" w:cstheme="minorHAnsi"/>
          <w:sz w:val="16"/>
          <w:szCs w:val="16"/>
        </w:rPr>
        <w:t xml:space="preserve">efektívne ovláda verbálnu, neverbálnu výtvarnú a sociálnu komunikáciu, </w:t>
      </w:r>
    </w:p>
    <w:p>
      <w:pPr>
        <w:pStyle w:val="TextBody"/>
        <w:numPr>
          <w:ilvl w:val="0"/>
          <w:numId w:val="10"/>
        </w:numPr>
        <w:spacing w:before="0" w:after="0"/>
        <w:ind w:left="1068" w:hanging="360"/>
        <w:jc w:val="both"/>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xml:space="preserve">vie sa umelecky hodnotovo orientovať vo vizuálnej tvorbe a kultúre, </w:t>
      </w:r>
    </w:p>
    <w:p>
      <w:pPr>
        <w:pStyle w:val="TextBody"/>
        <w:numPr>
          <w:ilvl w:val="0"/>
          <w:numId w:val="10"/>
        </w:numPr>
        <w:spacing w:before="0" w:after="0"/>
        <w:ind w:left="1068" w:hanging="360"/>
        <w:jc w:val="both"/>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vie tvorivo realizovať integratívne výtvarné a polyestetické projekty,</w:t>
      </w:r>
    </w:p>
    <w:p>
      <w:pPr>
        <w:pStyle w:val="TextBody"/>
        <w:numPr>
          <w:ilvl w:val="0"/>
          <w:numId w:val="10"/>
        </w:numPr>
        <w:spacing w:before="0" w:after="0"/>
        <w:ind w:left="1068" w:hanging="360"/>
        <w:jc w:val="both"/>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xml:space="preserve">disponuje kompetenciami v metodológii písania vedeckej práce a odborných textov.  </w:t>
      </w:r>
    </w:p>
    <w:p>
      <w:pPr>
        <w:pStyle w:val="ListParagraph"/>
        <w:spacing w:lineRule="auto" w:line="240" w:before="0" w:after="0"/>
        <w:contextualSpacing/>
        <w:jc w:val="both"/>
        <w:rPr>
          <w:rFonts w:cs="Calibri" w:cstheme="minorHAnsi"/>
          <w:color w:val="000000"/>
          <w:sz w:val="16"/>
          <w:szCs w:val="16"/>
        </w:rPr>
      </w:pPr>
      <w:r>
        <w:rPr>
          <w:rFonts w:cs="Calibri" w:cstheme="minorHAnsi"/>
          <w:color w:val="000000"/>
          <w:sz w:val="16"/>
          <w:szCs w:val="16"/>
        </w:rPr>
      </w:r>
    </w:p>
    <w:p>
      <w:pPr>
        <w:pStyle w:val="ListParagraph"/>
        <w:numPr>
          <w:ilvl w:val="0"/>
          <w:numId w:val="5"/>
        </w:numPr>
        <w:spacing w:lineRule="auto" w:line="240" w:before="0" w:after="0"/>
        <w:ind w:left="12" w:hanging="360"/>
        <w:contextualSpacing/>
        <w:jc w:val="both"/>
        <w:rPr>
          <w:rFonts w:cs="Calibri" w:cstheme="minorHAnsi"/>
          <w:color w:val="000000"/>
          <w:sz w:val="16"/>
          <w:szCs w:val="16"/>
        </w:rPr>
      </w:pPr>
      <w:r>
        <w:rPr>
          <w:rFonts w:cs="Calibri" w:cstheme="minorHAnsi"/>
          <w:color w:val="000000"/>
          <w:sz w:val="16"/>
          <w:szCs w:val="16"/>
        </w:rPr>
        <w:t>Vysoká škola indikuje povolania, na výkon ktorých je absolvent v čase absolvovania štúdia pripravený a potenciál študijného programu z pohľadu uplatnenia absolventov.</w:t>
      </w:r>
    </w:p>
    <w:p>
      <w:pPr>
        <w:pStyle w:val="Footer"/>
        <w:tabs>
          <w:tab w:val="left" w:pos="708" w:leader="none"/>
          <w:tab w:val="center" w:pos="4536" w:leader="none"/>
          <w:tab w:val="right" w:pos="9072" w:leader="none"/>
        </w:tabs>
        <w:ind w:left="12" w:hanging="0"/>
        <w:jc w:val="both"/>
        <w:rPr>
          <w:b/>
          <w:b/>
          <w:i/>
          <w:i/>
          <w:sz w:val="16"/>
          <w:szCs w:val="16"/>
          <w:lang w:eastAsia="x-none"/>
        </w:rPr>
      </w:pPr>
      <w:r>
        <w:rPr>
          <w:rFonts w:cs="Calibri" w:cstheme="minorHAnsi"/>
          <w:color w:val="000000"/>
          <w:sz w:val="16"/>
          <w:szCs w:val="16"/>
        </w:rPr>
        <w:t xml:space="preserve">          </w:t>
      </w:r>
      <w:r>
        <w:rPr>
          <w:b/>
          <w:i/>
          <w:sz w:val="16"/>
          <w:szCs w:val="16"/>
          <w:lang w:eastAsia="x-none"/>
        </w:rPr>
        <w:t xml:space="preserve">Vymedzenie oblastí uplatnenia absolventa: </w:t>
      </w:r>
    </w:p>
    <w:p>
      <w:pPr>
        <w:pStyle w:val="Footer"/>
        <w:numPr>
          <w:ilvl w:val="0"/>
          <w:numId w:val="13"/>
        </w:numPr>
        <w:tabs>
          <w:tab w:val="left" w:pos="708" w:leader="none"/>
          <w:tab w:val="center" w:pos="4536" w:leader="none"/>
          <w:tab w:val="right" w:pos="9072" w:leader="none"/>
        </w:tabs>
        <w:ind w:left="1068" w:hanging="360"/>
        <w:jc w:val="both"/>
        <w:rPr>
          <w:rFonts w:cs="Calibri" w:cstheme="minorHAnsi"/>
          <w:sz w:val="16"/>
          <w:szCs w:val="16"/>
          <w:lang w:eastAsia="x-none"/>
        </w:rPr>
      </w:pPr>
      <w:r>
        <w:rPr>
          <w:rFonts w:cs="Calibri" w:cstheme="minorHAnsi"/>
          <w:sz w:val="16"/>
          <w:szCs w:val="16"/>
          <w:lang w:eastAsia="x-none"/>
        </w:rPr>
        <w:t>učiteľ výtvarnej výchovy v základných školách, učiteľ výtvarnej výchovy v základných umeleckých školách, učiteľ výtvarno-teoretických disciplín , učiteľ výtvarných disciplín na osemročných gymnáziách, učiteľ výtvarných teoretických a praktických disciplín na stredných pedagogických a sociálnych akadémiách,</w:t>
      </w:r>
    </w:p>
    <w:p>
      <w:pPr>
        <w:pStyle w:val="Footer"/>
        <w:numPr>
          <w:ilvl w:val="0"/>
          <w:numId w:val="12"/>
        </w:numPr>
        <w:tabs>
          <w:tab w:val="left" w:pos="708" w:leader="none"/>
          <w:tab w:val="center" w:pos="4536" w:leader="none"/>
          <w:tab w:val="right" w:pos="9072" w:leader="none"/>
        </w:tabs>
        <w:ind w:left="1068" w:hanging="360"/>
        <w:jc w:val="both"/>
        <w:rPr>
          <w:rFonts w:cs="Calibri" w:cstheme="minorHAnsi"/>
          <w:sz w:val="16"/>
          <w:szCs w:val="16"/>
          <w:lang w:eastAsia="x-none"/>
        </w:rPr>
      </w:pPr>
      <w:r>
        <w:rPr>
          <w:rFonts w:cs="Calibri" w:cstheme="minorHAnsi"/>
          <w:sz w:val="16"/>
          <w:szCs w:val="16"/>
          <w:lang w:eastAsia="x-none"/>
        </w:rPr>
        <w:t>lektor voľného času výtvarných aktivít  v centrách voľného času, v domoch kultúry,</w:t>
      </w:r>
    </w:p>
    <w:p>
      <w:pPr>
        <w:pStyle w:val="Footer"/>
        <w:numPr>
          <w:ilvl w:val="0"/>
          <w:numId w:val="11"/>
        </w:numPr>
        <w:tabs>
          <w:tab w:val="left" w:pos="708" w:leader="none"/>
          <w:tab w:val="center" w:pos="4536" w:leader="none"/>
          <w:tab w:val="right" w:pos="9072" w:leader="none"/>
        </w:tabs>
        <w:overflowPunct w:val="true"/>
        <w:ind w:left="1068" w:hanging="360"/>
        <w:jc w:val="both"/>
        <w:rPr>
          <w:rFonts w:cs="Calibri" w:cstheme="minorHAnsi"/>
          <w:sz w:val="16"/>
          <w:szCs w:val="16"/>
          <w:lang w:eastAsia="x-none"/>
        </w:rPr>
      </w:pPr>
      <w:r>
        <w:rPr>
          <w:rFonts w:cs="Calibri" w:cstheme="minorHAnsi"/>
          <w:sz w:val="16"/>
          <w:szCs w:val="16"/>
          <w:lang w:eastAsia="x-none"/>
        </w:rPr>
        <w:t xml:space="preserve">odborný pracovník štátnej a verejnej správy pre oblasť vizuálnej kultúry, </w:t>
      </w:r>
    </w:p>
    <w:p>
      <w:pPr>
        <w:pStyle w:val="Footer"/>
        <w:numPr>
          <w:ilvl w:val="0"/>
          <w:numId w:val="11"/>
        </w:numPr>
        <w:tabs>
          <w:tab w:val="left" w:pos="708" w:leader="none"/>
          <w:tab w:val="center" w:pos="4536" w:leader="none"/>
          <w:tab w:val="right" w:pos="9072" w:leader="none"/>
        </w:tabs>
        <w:overflowPunct w:val="true"/>
        <w:ind w:left="1068" w:hanging="360"/>
        <w:jc w:val="both"/>
        <w:rPr>
          <w:rFonts w:cs="Calibri" w:cstheme="minorHAnsi"/>
          <w:sz w:val="16"/>
          <w:szCs w:val="16"/>
          <w:lang w:eastAsia="x-none"/>
        </w:rPr>
      </w:pPr>
      <w:r>
        <w:rPr>
          <w:rFonts w:cs="Calibri" w:cstheme="minorHAnsi"/>
          <w:sz w:val="16"/>
          <w:szCs w:val="16"/>
          <w:lang w:eastAsia="x-none"/>
        </w:rPr>
        <w:t>pracovník v kreatívnom priemysle.</w:t>
      </w:r>
    </w:p>
    <w:p>
      <w:pPr>
        <w:pStyle w:val="Normal"/>
        <w:suppressAutoHyphens w:val="true"/>
        <w:spacing w:lineRule="auto" w:line="240" w:before="0" w:after="0"/>
        <w:ind w:left="360" w:hanging="0"/>
        <w:jc w:val="both"/>
        <w:rPr>
          <w:rFonts w:cs="Calibri" w:cstheme="minorHAnsi"/>
          <w:color w:val="000000"/>
          <w:sz w:val="16"/>
          <w:szCs w:val="16"/>
        </w:rPr>
      </w:pPr>
      <w:r>
        <w:rPr>
          <w:rFonts w:cs="Calibri" w:cstheme="minorHAnsi"/>
          <w:color w:val="000000"/>
          <w:sz w:val="16"/>
          <w:szCs w:val="16"/>
        </w:rPr>
      </w:r>
    </w:p>
    <w:p>
      <w:pPr>
        <w:pStyle w:val="ListParagraph"/>
        <w:numPr>
          <w:ilvl w:val="0"/>
          <w:numId w:val="5"/>
        </w:numPr>
        <w:spacing w:lineRule="auto" w:line="240" w:before="0" w:after="0"/>
        <w:contextualSpacing/>
        <w:jc w:val="both"/>
        <w:rPr>
          <w:rFonts w:cs="Calibri" w:cstheme="minorHAnsi"/>
          <w:color w:val="000000"/>
          <w:sz w:val="16"/>
          <w:szCs w:val="16"/>
        </w:rPr>
      </w:pPr>
      <w:r>
        <w:rPr>
          <w:rFonts w:cs="Calibri" w:cstheme="minorHAnsi"/>
          <w:color w:val="000000"/>
          <w:sz w:val="16"/>
          <w:szCs w:val="16"/>
        </w:rPr>
        <w:t>Relevantné externé zainteresované strany, ktoré poskytli vyjadrenie alebo súhlasné stanovisko k súladu získanej kvalifikácie so sektorovo-špecifickými požiadavkami na výkon povolania</w:t>
      </w:r>
      <w:r>
        <w:rPr>
          <w:rStyle w:val="FootnoteAnchor"/>
          <w:rFonts w:cs="Calibri" w:cstheme="minorHAnsi"/>
          <w:bCs/>
          <w:szCs w:val="16"/>
        </w:rPr>
        <w:footnoteReference w:id="8"/>
      </w:r>
      <w:r>
        <w:rPr>
          <w:rFonts w:cs="Calibri" w:cstheme="minorHAnsi"/>
          <w:color w:val="000000"/>
          <w:sz w:val="16"/>
          <w:szCs w:val="16"/>
        </w:rPr>
        <w:t xml:space="preserve">. </w:t>
      </w:r>
    </w:p>
    <w:p>
      <w:pPr>
        <w:pStyle w:val="Normal"/>
        <w:ind w:left="709" w:hanging="0"/>
        <w:rPr>
          <w:rFonts w:eastAsia="Calibri" w:cs="Calibri"/>
          <w:i/>
          <w:i/>
          <w:iCs/>
          <w:color w:val="000000" w:themeColor="text1"/>
          <w:sz w:val="16"/>
          <w:szCs w:val="16"/>
        </w:rPr>
      </w:pPr>
      <w:r>
        <w:rPr>
          <w:rFonts w:cs="Calibri" w:cstheme="minorHAnsi"/>
          <w:color w:val="000000"/>
          <w:sz w:val="16"/>
          <w:szCs w:val="16"/>
        </w:rPr>
        <w:t xml:space="preserve"> </w:t>
      </w:r>
      <w:r>
        <w:rPr>
          <w:rFonts w:eastAsia="Calibri" w:cs="Calibri"/>
          <w:i/>
          <w:iCs/>
          <w:color w:val="000000" w:themeColor="text1"/>
          <w:sz w:val="16"/>
          <w:szCs w:val="16"/>
        </w:rPr>
        <w:t>Nejedná sa o regulované povolanie.</w:t>
      </w:r>
    </w:p>
    <w:p>
      <w:pPr>
        <w:pStyle w:val="ListParagraph"/>
        <w:numPr>
          <w:ilvl w:val="0"/>
          <w:numId w:val="1"/>
        </w:numPr>
        <w:spacing w:lineRule="auto" w:line="240" w:before="0" w:after="0"/>
        <w:contextualSpacing/>
        <w:jc w:val="both"/>
        <w:rPr>
          <w:rFonts w:cs="Calibri" w:cstheme="minorHAnsi"/>
          <w:b/>
          <w:b/>
          <w:bCs/>
          <w:color w:val="000000"/>
          <w:sz w:val="16"/>
          <w:szCs w:val="16"/>
        </w:rPr>
      </w:pPr>
      <w:r>
        <w:rPr>
          <w:rFonts w:cs="Calibri" w:cstheme="minorHAnsi"/>
          <w:b/>
          <w:bCs/>
          <w:color w:val="000000"/>
          <w:sz w:val="16"/>
          <w:szCs w:val="16"/>
        </w:rPr>
        <w:t xml:space="preserve">Uplatniteľnosť </w:t>
      </w:r>
    </w:p>
    <w:p>
      <w:pPr>
        <w:pStyle w:val="ListParagraph"/>
        <w:numPr>
          <w:ilvl w:val="0"/>
          <w:numId w:val="6"/>
        </w:numPr>
        <w:spacing w:lineRule="auto" w:line="240" w:before="0" w:after="0"/>
        <w:contextualSpacing/>
        <w:jc w:val="both"/>
        <w:rPr>
          <w:rFonts w:cs="Calibri" w:cstheme="minorHAnsi"/>
          <w:color w:val="000000"/>
          <w:sz w:val="16"/>
          <w:szCs w:val="16"/>
        </w:rPr>
      </w:pPr>
      <w:r>
        <w:rPr>
          <w:rFonts w:cs="Calibri" w:cstheme="minorHAnsi"/>
          <w:color w:val="000000"/>
          <w:sz w:val="16"/>
          <w:szCs w:val="16"/>
        </w:rPr>
        <w:t xml:space="preserve">Hodnotenie uplatniteľnosti absolventov študijného programu. </w:t>
      </w:r>
    </w:p>
    <w:p>
      <w:pPr>
        <w:pStyle w:val="Normal"/>
        <w:ind w:left="709" w:hanging="0"/>
        <w:rPr>
          <w:i/>
          <w:i/>
          <w:iCs/>
          <w:color w:val="000000" w:themeColor="text1"/>
          <w:sz w:val="16"/>
          <w:szCs w:val="16"/>
        </w:rPr>
      </w:pPr>
      <w:r>
        <w:rPr>
          <w:rFonts w:cs="Calibri" w:cstheme="minorHAnsi"/>
          <w:color w:val="000000"/>
          <w:sz w:val="16"/>
          <w:szCs w:val="16"/>
        </w:rPr>
        <w:t xml:space="preserve"> </w:t>
      </w:r>
      <w:r>
        <w:rPr>
          <w:rFonts w:eastAsia="Calibri" w:cs="Calibri"/>
          <w:i/>
          <w:iCs/>
          <w:color w:val="000000" w:themeColor="text1"/>
          <w:sz w:val="16"/>
          <w:szCs w:val="16"/>
        </w:rPr>
        <w:t xml:space="preserve">O možnostiach uplatnenia absolventov informuje predošlý bod 2, ods. b). Štatistické prehľady o uplatniteľnosti a zamestnanosti absolventov sú dostupné z: </w:t>
      </w:r>
      <w:hyperlink r:id="rId2">
        <w:r>
          <w:rPr>
            <w:rStyle w:val="InternetLink"/>
            <w:rFonts w:eastAsia="Calibri" w:cs="Calibri"/>
            <w:i/>
            <w:iCs/>
            <w:color w:val="000000" w:themeColor="text1"/>
            <w:sz w:val="16"/>
            <w:szCs w:val="16"/>
          </w:rPr>
          <w:t>https://uplatnenie.sk/</w:t>
        </w:r>
      </w:hyperlink>
      <w:r>
        <w:rPr>
          <w:rFonts w:eastAsia="Calibri" w:cs="Calibri"/>
          <w:i/>
          <w:iCs/>
          <w:color w:val="000000" w:themeColor="text1"/>
          <w:sz w:val="16"/>
          <w:szCs w:val="16"/>
          <w:u w:val="single"/>
        </w:rPr>
        <w:t xml:space="preserve"> alebo </w:t>
      </w:r>
      <w:hyperlink r:id="rId3">
        <w:r>
          <w:rPr>
            <w:rStyle w:val="InternetLink"/>
            <w:rFonts w:eastAsia="Calibri" w:cs="Calibri"/>
            <w:i/>
            <w:iCs/>
            <w:color w:val="000000" w:themeColor="text1"/>
            <w:sz w:val="16"/>
            <w:szCs w:val="16"/>
          </w:rPr>
          <w:t>https://uplatnenie.sk/?degree=V%C5%A0&amp;vs=717000000&amp;faculty=717050000&amp;field=7898T00&amp;year=2018</w:t>
        </w:r>
      </w:hyperlink>
    </w:p>
    <w:p>
      <w:pPr>
        <w:pStyle w:val="Normal"/>
        <w:ind w:left="709" w:hanging="0"/>
        <w:rPr>
          <w:i/>
          <w:i/>
          <w:iCs/>
          <w:color w:val="000000" w:themeColor="text1"/>
          <w:sz w:val="16"/>
          <w:szCs w:val="16"/>
        </w:rPr>
      </w:pPr>
      <w:r>
        <w:rPr>
          <w:rFonts w:eastAsia="Calibri" w:cs="Calibri"/>
          <w:i/>
          <w:iCs/>
          <w:color w:val="000000" w:themeColor="text1"/>
          <w:sz w:val="16"/>
          <w:szCs w:val="16"/>
        </w:rPr>
        <w:t>Podľa vyššie uvedeného webu, ktorý spravuje Ministerstvo práce, sociálnych vecí a rodiny SR, 91% absolventov roku 2019 bolo zamestnaných v odbore, pričom  91% pracuje v odbore.</w:t>
      </w:r>
    </w:p>
    <w:p>
      <w:pPr>
        <w:pStyle w:val="ListParagraph"/>
        <w:numPr>
          <w:ilvl w:val="0"/>
          <w:numId w:val="6"/>
        </w:numPr>
        <w:spacing w:lineRule="auto" w:line="240" w:before="0" w:after="0"/>
        <w:contextualSpacing/>
        <w:jc w:val="both"/>
        <w:rPr>
          <w:rFonts w:cs="Calibri" w:cstheme="minorHAnsi"/>
          <w:color w:val="000000"/>
          <w:sz w:val="16"/>
          <w:szCs w:val="16"/>
        </w:rPr>
      </w:pPr>
      <w:r>
        <w:rPr>
          <w:rFonts w:cs="Calibri" w:cstheme="minorHAnsi"/>
          <w:color w:val="000000"/>
          <w:sz w:val="16"/>
          <w:szCs w:val="16"/>
        </w:rPr>
        <w:t>Prípadne uviesť úspešných absolventov študijného programu.</w:t>
      </w:r>
    </w:p>
    <w:p>
      <w:pPr>
        <w:pStyle w:val="ListParagraph"/>
        <w:ind w:left="360" w:hanging="0"/>
        <w:rPr>
          <w:sz w:val="16"/>
          <w:szCs w:val="16"/>
        </w:rPr>
      </w:pPr>
      <w:r>
        <w:rPr>
          <w:rFonts w:cs="Calibri" w:cstheme="minorHAnsi"/>
          <w:color w:val="000000"/>
          <w:sz w:val="16"/>
          <w:szCs w:val="16"/>
        </w:rPr>
        <w:t xml:space="preserve">                     </w:t>
      </w:r>
      <w:r>
        <w:rPr>
          <w:sz w:val="16"/>
          <w:szCs w:val="16"/>
        </w:rPr>
        <w:t>Mgr. art Martin Moflár – pedagóg Fakulty umení KVUal / TU v Košiciach</w:t>
      </w:r>
    </w:p>
    <w:p>
      <w:pPr>
        <w:pStyle w:val="ListParagraph"/>
        <w:ind w:left="360" w:hanging="0"/>
        <w:rPr>
          <w:sz w:val="16"/>
          <w:szCs w:val="16"/>
        </w:rPr>
      </w:pPr>
      <w:r>
        <w:rPr>
          <w:sz w:val="16"/>
          <w:szCs w:val="16"/>
        </w:rPr>
        <w:t xml:space="preserve">                     </w:t>
      </w:r>
      <w:r>
        <w:rPr>
          <w:sz w:val="16"/>
          <w:szCs w:val="16"/>
        </w:rPr>
        <w:t>Doc. Mgr. art Ľuboslav Paľo – vedúci ateliéru Katedry grafiky a iných médií VŠVU Bratislalva</w:t>
      </w:r>
    </w:p>
    <w:p>
      <w:pPr>
        <w:pStyle w:val="ListParagraph"/>
        <w:ind w:left="360" w:hanging="0"/>
        <w:rPr>
          <w:sz w:val="16"/>
          <w:szCs w:val="16"/>
        </w:rPr>
      </w:pPr>
      <w:r>
        <w:rPr>
          <w:sz w:val="16"/>
          <w:szCs w:val="16"/>
        </w:rPr>
        <w:t xml:space="preserve">                     </w:t>
      </w:r>
      <w:r>
        <w:rPr>
          <w:sz w:val="16"/>
          <w:szCs w:val="16"/>
        </w:rPr>
        <w:t>PaedDr. Ľubomír Repaský – pedagóg, zástupca ZUŠ Levoča</w:t>
      </w:r>
    </w:p>
    <w:p>
      <w:pPr>
        <w:pStyle w:val="ListParagraph"/>
        <w:ind w:left="360" w:hanging="0"/>
        <w:rPr>
          <w:sz w:val="16"/>
          <w:szCs w:val="16"/>
        </w:rPr>
      </w:pPr>
      <w:r>
        <w:rPr>
          <w:sz w:val="16"/>
          <w:szCs w:val="16"/>
        </w:rPr>
        <w:t xml:space="preserve">                     </w:t>
      </w:r>
      <w:r>
        <w:rPr>
          <w:sz w:val="16"/>
          <w:szCs w:val="16"/>
        </w:rPr>
        <w:t>PhDr. Janette Langová – riaditeľka galérie Caraffka Prešov</w:t>
      </w:r>
    </w:p>
    <w:p>
      <w:pPr>
        <w:pStyle w:val="ListParagraph"/>
        <w:ind w:left="360" w:hanging="0"/>
        <w:rPr>
          <w:sz w:val="16"/>
          <w:szCs w:val="16"/>
        </w:rPr>
      </w:pPr>
      <w:r>
        <w:rPr>
          <w:sz w:val="16"/>
          <w:szCs w:val="16"/>
        </w:rPr>
        <w:t xml:space="preserve">                     </w:t>
      </w:r>
      <w:r>
        <w:rPr>
          <w:sz w:val="16"/>
          <w:szCs w:val="16"/>
        </w:rPr>
        <w:t>Mgr. Linda Pločicová – riaditeľka ŠUP Prešov</w:t>
      </w:r>
    </w:p>
    <w:p>
      <w:pPr>
        <w:pStyle w:val="Normal"/>
        <w:rPr>
          <w:rFonts w:cs="Calibri" w:cstheme="minorHAnsi"/>
          <w:color w:val="000000"/>
          <w:sz w:val="16"/>
          <w:szCs w:val="16"/>
        </w:rPr>
      </w:pPr>
      <w:r>
        <w:rPr>
          <w:rFonts w:cs="Calibri" w:cstheme="minorHAnsi"/>
          <w:color w:val="000000"/>
          <w:sz w:val="16"/>
          <w:szCs w:val="16"/>
        </w:rPr>
        <w:t xml:space="preserve">Hodnotenie kvality študijného programu zamestnávateľmi (spätná väzba). </w:t>
      </w:r>
    </w:p>
    <w:p>
      <w:pPr>
        <w:pStyle w:val="Normal"/>
        <w:spacing w:before="0" w:after="200"/>
        <w:contextualSpacing/>
        <w:jc w:val="both"/>
        <w:rPr>
          <w:rFonts w:eastAsia="Calibri" w:cs="Calibri"/>
          <w:i/>
          <w:i/>
          <w:iCs/>
          <w:color w:val="000000" w:themeColor="text1"/>
          <w:sz w:val="16"/>
          <w:szCs w:val="16"/>
        </w:rPr>
      </w:pPr>
      <w:r>
        <w:rPr>
          <w:rFonts w:cs="Calibri" w:cstheme="minorHAnsi"/>
          <w:color w:val="000000"/>
          <w:sz w:val="16"/>
          <w:szCs w:val="16"/>
        </w:rPr>
        <w:t xml:space="preserve">          </w:t>
      </w:r>
      <w:r>
        <w:rPr>
          <w:rFonts w:eastAsia="Calibri" w:cs="Calibri"/>
          <w:i/>
          <w:iCs/>
          <w:color w:val="000000" w:themeColor="text1"/>
          <w:sz w:val="16"/>
          <w:szCs w:val="16"/>
        </w:rPr>
        <w:t>O hodnotenie kvality predkladaného ŠP sme požiadali našich absolventov Mgr. Janu Kuzmovú, PhD. odbornú asistentku na PF UK v Bratislave, Mgr. Stanislava Poláka, zástupcu riaditeľa na ZŠ Námestie arm. Gen. L. Svobodu v Bardejove a študentku študijného programu Učiteľstva výtvarného umenia v kombinácii Bc. Moniku Jaklovskú. S uvedenou študentkou a zástupcami praxe boli vedené komunikácie prostredníctvom emailov a stretnutia zabezpečené a vedené garantom programu. Výsledky týchto stretnutí boli spracované v zápisnici a návrhy boli zapracované do programu. Spätná väzba bola  pozitívna a zdôrazňovala sa veľká snaha programu o prepojenie na reálne potreby praxe.</w:t>
      </w:r>
    </w:p>
    <w:p>
      <w:pPr>
        <w:pStyle w:val="Normal"/>
        <w:spacing w:before="0" w:after="200"/>
        <w:contextualSpacing/>
        <w:jc w:val="both"/>
        <w:rPr>
          <w:rFonts w:cs="Calibri" w:cstheme="minorHAnsi"/>
          <w:color w:val="000000"/>
          <w:sz w:val="16"/>
          <w:szCs w:val="16"/>
        </w:rPr>
      </w:pPr>
      <w:r>
        <w:rPr>
          <w:rFonts w:cs="Calibri" w:cstheme="minorHAnsi"/>
          <w:color w:val="000000"/>
          <w:sz w:val="16"/>
          <w:szCs w:val="16"/>
        </w:rPr>
      </w:r>
    </w:p>
    <w:p>
      <w:pPr>
        <w:pStyle w:val="ListParagraph"/>
        <w:numPr>
          <w:ilvl w:val="0"/>
          <w:numId w:val="1"/>
        </w:numPr>
        <w:spacing w:lineRule="auto" w:line="240" w:before="0" w:after="0"/>
        <w:contextualSpacing/>
        <w:rPr>
          <w:rFonts w:cs="Calibri" w:cstheme="minorHAnsi"/>
          <w:b/>
          <w:b/>
          <w:bCs/>
          <w:sz w:val="16"/>
          <w:szCs w:val="16"/>
        </w:rPr>
      </w:pPr>
      <w:r>
        <w:rPr>
          <w:rFonts w:cs="Calibri" w:cstheme="minorHAnsi"/>
          <w:b/>
          <w:bCs/>
          <w:sz w:val="16"/>
          <w:szCs w:val="16"/>
        </w:rPr>
        <w:t>Štruktúra a obsah študijného programu</w:t>
      </w:r>
      <w:r>
        <w:rPr>
          <w:rStyle w:val="FootnoteAnchor"/>
          <w:rFonts w:cs="Calibri" w:cstheme="minorHAnsi"/>
          <w:bCs/>
          <w:szCs w:val="16"/>
        </w:rPr>
        <w:footnoteReference w:id="9"/>
      </w:r>
      <w:r>
        <w:rPr>
          <w:rFonts w:cs="Calibri" w:cstheme="minorHAnsi"/>
          <w:b/>
          <w:bCs/>
          <w:sz w:val="16"/>
          <w:szCs w:val="16"/>
        </w:rPr>
        <w:t xml:space="preserve"> </w:t>
      </w:r>
    </w:p>
    <w:p>
      <w:pPr>
        <w:pStyle w:val="ListParagraph"/>
        <w:numPr>
          <w:ilvl w:val="0"/>
          <w:numId w:val="3"/>
        </w:numPr>
        <w:spacing w:lineRule="auto" w:line="240" w:before="0" w:after="0"/>
        <w:contextualSpacing/>
        <w:jc w:val="both"/>
        <w:rPr>
          <w:rFonts w:cs="Calibri" w:cstheme="minorHAnsi"/>
          <w:color w:val="000000" w:themeColor="text1"/>
          <w:sz w:val="16"/>
          <w:szCs w:val="16"/>
        </w:rPr>
      </w:pPr>
      <w:r>
        <w:rPr>
          <w:rFonts w:cs="Calibri" w:cstheme="minorHAnsi"/>
          <w:i/>
          <w:iCs/>
          <w:sz w:val="16"/>
          <w:szCs w:val="16"/>
        </w:rPr>
        <w:t>Vysoká škola popíše pravidlá na utváranie študijných plánov v študijnom programe.</w:t>
      </w:r>
    </w:p>
    <w:p>
      <w:pPr>
        <w:pStyle w:val="Normal"/>
        <w:spacing w:lineRule="auto" w:line="240" w:before="0" w:after="0"/>
        <w:ind w:left="709" w:hanging="0"/>
        <w:jc w:val="both"/>
        <w:rPr>
          <w:color w:val="000000" w:themeColor="text1"/>
        </w:rPr>
      </w:pPr>
      <w:r>
        <w:rPr>
          <w:rFonts w:cs="Calibri" w:cstheme="minorHAnsi"/>
          <w:i/>
          <w:iCs/>
          <w:sz w:val="16"/>
          <w:szCs w:val="16"/>
        </w:rPr>
        <w:t xml:space="preserve"> </w:t>
      </w:r>
      <w:r>
        <w:rPr>
          <w:i/>
          <w:iCs/>
          <w:color w:val="000000" w:themeColor="text1"/>
          <w:sz w:val="16"/>
          <w:szCs w:val="16"/>
        </w:rPr>
        <w:t>Študent si volí predmety v súlade s vyhláškou 614/2002 Z.z. o kreditovom systéme štúdiu a študijným poriadkom PU</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(1) Zápisom si študent určuje, akú časť povinností predpísanú študijným programom chce absolvovať v nasledujúcom období štúdia, na ktorý sa zápis vzťahuje (trimester, semester alebo akademický rok).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(2) Študent si zapisuje predmety tak, aby mu počet kreditov, ktoré môže získať ich úspešným absolvovaním, stačil v danom období na splnenie podmienky na pokračovanie v štúdiu.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(3) Študent si môže počas štúdia opakovane zapísať povinný predmet, ktorý absolvoval neúspešne. Po druhom neúspešnom pokuse o absolvovanie povinného predmetu je študent vylúčený zo štúdia [§ 66 ods.1 písm. c) zákona].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(4) 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 [§ 66 ods. 1 písm. c) zákona].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(5) 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dosiahol dostatočný počet kreditov, nemusí si zapísať žiadny výberový predmet. Ak študent nedosiahol dostatočný počet kreditov, po druhom neúspešnom pokuse o absolvovanie vybraného výberového predmetu je vylúčený zo štúdia [§ 66 ods. 1 písm. c) zákona].</w:t>
      </w:r>
    </w:p>
    <w:p>
      <w:pPr>
        <w:pStyle w:val="ListParagraph"/>
        <w:spacing w:lineRule="auto" w:line="240" w:before="0" w:after="0"/>
        <w:ind w:left="360" w:hanging="0"/>
        <w:contextualSpacing/>
        <w:jc w:val="both"/>
        <w:rPr>
          <w:rFonts w:cs="Calibri" w:cstheme="minorHAnsi"/>
          <w:color w:val="000000" w:themeColor="text1"/>
          <w:sz w:val="16"/>
          <w:szCs w:val="16"/>
        </w:rPr>
      </w:pPr>
      <w:r>
        <w:rPr>
          <w:rFonts w:cs="Calibri" w:cstheme="minorHAnsi"/>
          <w:color w:val="000000" w:themeColor="text1"/>
          <w:sz w:val="16"/>
          <w:szCs w:val="16"/>
        </w:rPr>
      </w:r>
    </w:p>
    <w:p>
      <w:pPr>
        <w:pStyle w:val="ListParagraph"/>
        <w:numPr>
          <w:ilvl w:val="0"/>
          <w:numId w:val="3"/>
        </w:numPr>
        <w:spacing w:lineRule="auto" w:line="240" w:before="0" w:after="0"/>
        <w:contextualSpacing/>
        <w:jc w:val="both"/>
        <w:rPr>
          <w:rFonts w:cs="Calibri" w:cstheme="minorHAnsi"/>
          <w:sz w:val="16"/>
          <w:szCs w:val="16"/>
        </w:rPr>
      </w:pPr>
      <w:r>
        <w:rPr>
          <w:rFonts w:cs="Calibri" w:cstheme="minorHAnsi"/>
          <w:i/>
          <w:iCs/>
          <w:sz w:val="16"/>
          <w:szCs w:val="16"/>
        </w:rPr>
        <w:t>Vysoká škola zostaví odporúčané študijné plány pre jednotlivé cesty v štúdiu</w:t>
      </w:r>
      <w:bookmarkStart w:id="0" w:name="_Hlk52130688"/>
      <w:r>
        <w:rPr>
          <w:rStyle w:val="FootnoteAnchor"/>
          <w:rFonts w:cs="Calibri" w:cstheme="minorHAnsi"/>
          <w:i/>
          <w:iCs/>
          <w:szCs w:val="16"/>
        </w:rPr>
        <w:footnoteReference w:id="10"/>
      </w:r>
      <w:bookmarkEnd w:id="0"/>
      <w:r>
        <w:rPr>
          <w:rFonts w:cs="Calibri" w:cstheme="minorHAnsi"/>
          <w:i/>
          <w:iCs/>
          <w:sz w:val="16"/>
          <w:szCs w:val="16"/>
        </w:rPr>
        <w:t xml:space="preserve">. </w:t>
      </w:r>
    </w:p>
    <w:p>
      <w:pPr>
        <w:pStyle w:val="ListParagraph"/>
        <w:spacing w:lineRule="auto" w:line="240" w:before="0" w:after="0"/>
        <w:ind w:left="360" w:hanging="0"/>
        <w:contextualSpacing/>
        <w:jc w:val="both"/>
        <w:rPr>
          <w:i/>
          <w:i/>
          <w:iCs/>
          <w:color w:val="000000" w:themeColor="text1"/>
          <w:sz w:val="16"/>
          <w:szCs w:val="16"/>
        </w:rPr>
      </w:pPr>
      <w:r>
        <w:rPr>
          <w:rFonts w:cs="Calibri" w:cstheme="minorHAnsi"/>
          <w:i/>
          <w:iCs/>
          <w:sz w:val="16"/>
          <w:szCs w:val="16"/>
        </w:rPr>
        <w:t xml:space="preserve">          </w:t>
      </w:r>
      <w:r>
        <w:rPr>
          <w:i/>
          <w:iCs/>
          <w:color w:val="000000" w:themeColor="text1"/>
          <w:sz w:val="16"/>
          <w:szCs w:val="16"/>
        </w:rPr>
        <w:t>V rámci povinne voliteľných predmetov sa môže študent špecializovať v oblasti orchestrálnej hry, zborového spevu alebo</w:t>
      </w:r>
    </w:p>
    <w:p>
      <w:pPr>
        <w:pStyle w:val="ListParagraph"/>
        <w:spacing w:lineRule="auto" w:line="240" w:before="0" w:after="0"/>
        <w:ind w:left="360" w:hanging="0"/>
        <w:contextualSpacing/>
        <w:jc w:val="both"/>
        <w:rPr>
          <w:rFonts w:cs="Calibri" w:cstheme="minorHAnsi"/>
          <w:sz w:val="16"/>
          <w:szCs w:val="16"/>
        </w:rPr>
      </w:pPr>
      <w:r>
        <w:rPr>
          <w:i/>
          <w:iCs/>
          <w:color w:val="000000" w:themeColor="text1"/>
          <w:sz w:val="16"/>
          <w:szCs w:val="16"/>
        </w:rPr>
        <w:t xml:space="preserve">           </w:t>
      </w:r>
      <w:r>
        <w:rPr>
          <w:i/>
          <w:iCs/>
          <w:color w:val="000000" w:themeColor="text1"/>
          <w:sz w:val="16"/>
          <w:szCs w:val="16"/>
        </w:rPr>
        <w:t>hudobného folklóru (viď OŠP nižšie).</w:t>
      </w:r>
    </w:p>
    <w:p>
      <w:pPr>
        <w:pStyle w:val="ListParagraph"/>
        <w:numPr>
          <w:ilvl w:val="0"/>
          <w:numId w:val="3"/>
        </w:numPr>
        <w:spacing w:lineRule="auto" w:line="240" w:before="0" w:after="0"/>
        <w:contextualSpacing/>
        <w:jc w:val="both"/>
        <w:rPr>
          <w:rFonts w:cs="Calibri" w:cstheme="minorHAnsi"/>
          <w:sz w:val="16"/>
          <w:szCs w:val="16"/>
        </w:rPr>
      </w:pPr>
      <w:r>
        <w:rPr>
          <w:rFonts w:cs="Calibri" w:cstheme="minorHAnsi"/>
          <w:i/>
          <w:iCs/>
          <w:sz w:val="16"/>
          <w:szCs w:val="16"/>
        </w:rPr>
        <w:t xml:space="preserve">V študijnom pláne spravidla uvedie: </w:t>
      </w:r>
    </w:p>
    <w:p>
      <w:pPr>
        <w:pStyle w:val="ListParagraph"/>
        <w:numPr>
          <w:ilvl w:val="0"/>
          <w:numId w:val="7"/>
        </w:numPr>
        <w:spacing w:lineRule="auto" w:line="240" w:before="0" w:after="0"/>
        <w:contextualSpacing/>
        <w:jc w:val="both"/>
        <w:rPr>
          <w:rFonts w:cs="Calibri" w:cstheme="minorHAnsi"/>
          <w:i/>
          <w:i/>
          <w:iCs/>
          <w:color w:val="000000" w:themeColor="text1"/>
          <w:sz w:val="16"/>
          <w:szCs w:val="16"/>
        </w:rPr>
      </w:pPr>
      <w:r>
        <w:rPr>
          <w:rFonts w:cs="Calibri" w:cstheme="minorHAnsi"/>
          <w:i/>
          <w:iCs/>
          <w:sz w:val="16"/>
          <w:szCs w:val="16"/>
        </w:rPr>
        <w:t xml:space="preserve"> </w:t>
      </w:r>
      <w:r>
        <w:rPr>
          <w:rFonts w:cs="Calibri" w:cstheme="minorHAnsi"/>
          <w:i/>
          <w:iCs/>
          <w:sz w:val="16"/>
          <w:szCs w:val="16"/>
        </w:rPr>
        <w:t>j</w:t>
      </w:r>
      <w:r>
        <w:rPr>
          <w:rFonts w:cs="Calibri" w:cstheme="minorHAnsi"/>
          <w:i/>
          <w:iCs/>
          <w:color w:val="000000" w:themeColor="text1"/>
          <w:sz w:val="16"/>
          <w:szCs w:val="16"/>
        </w:rPr>
        <w:t>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pPr>
        <w:pStyle w:val="ListParagraph"/>
        <w:spacing w:lineRule="auto" w:line="240" w:before="0" w:after="0"/>
        <w:contextualSpacing/>
        <w:jc w:val="both"/>
        <w:rPr>
          <w:i/>
          <w:i/>
          <w:iCs/>
          <w:color w:val="000000" w:themeColor="text1"/>
          <w:sz w:val="16"/>
          <w:szCs w:val="16"/>
        </w:rPr>
      </w:pPr>
      <w:bookmarkStart w:id="1" w:name="_Hlk90642472"/>
      <w:r>
        <w:rPr>
          <w:rFonts w:cs="Calibri" w:cstheme="minorHAnsi"/>
          <w:i/>
          <w:iCs/>
          <w:color w:val="000000" w:themeColor="text1"/>
          <w:sz w:val="16"/>
          <w:szCs w:val="16"/>
        </w:rPr>
        <w:t xml:space="preserve">Jednotlivé časti študijného programu sú uvedené v Odporúčanom študijnom pláne (viď. nižšie). </w:t>
      </w:r>
      <w:bookmarkEnd w:id="1"/>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 xml:space="preserve">v študijnom programe vyznačí </w:t>
      </w:r>
      <w:r>
        <w:rPr>
          <w:b/>
          <w:bCs/>
          <w:i/>
          <w:iCs/>
          <w:color w:val="000000" w:themeColor="text1"/>
          <w:sz w:val="16"/>
          <w:szCs w:val="16"/>
        </w:rPr>
        <w:t xml:space="preserve">profilové predmety </w:t>
      </w:r>
      <w:r>
        <w:rPr>
          <w:i/>
          <w:iCs/>
          <w:color w:val="000000" w:themeColor="text1"/>
          <w:sz w:val="16"/>
          <w:szCs w:val="16"/>
        </w:rPr>
        <w:t>príslušnej cesty v štúdiu (špecializácie),</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Profilové predmety sú označené v odporúčanom študijnom pláne. Profilové predmety študijného programu Učiteľstvo výtvarného umenia v kombinácii sú:</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i/>
          <w:sz w:val="16"/>
          <w:szCs w:val="16"/>
        </w:rPr>
        <w:t xml:space="preserve">Dejiny výtvarného umenia mimoeurópskych civilizácií  </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sz w:val="16"/>
          <w:szCs w:val="16"/>
        </w:rPr>
        <w:t>Dejiny výtvarného umenia Slovenska</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sz w:val="16"/>
          <w:szCs w:val="16"/>
        </w:rPr>
        <w:t>Metodológia  dejín výtvarného umenia</w:t>
      </w:r>
      <w:r>
        <w:rPr>
          <w:rFonts w:cs="Calibri" w:cstheme="minorHAnsi"/>
          <w:i/>
          <w:iCs/>
          <w:color w:val="000000" w:themeColor="text1"/>
          <w:sz w:val="16"/>
          <w:szCs w:val="16"/>
        </w:rPr>
        <w:t xml:space="preserve"> </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iCs/>
          <w:color w:val="000000" w:themeColor="text1"/>
          <w:sz w:val="16"/>
          <w:szCs w:val="16"/>
        </w:rPr>
        <w:t>Hĺbkotlačová grafika 1</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iCs/>
          <w:color w:val="000000" w:themeColor="text1"/>
          <w:sz w:val="16"/>
          <w:szCs w:val="16"/>
        </w:rPr>
        <w:t>Hĺbkotlačová grafika 2</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iCs/>
          <w:color w:val="000000" w:themeColor="text1"/>
          <w:sz w:val="16"/>
          <w:szCs w:val="16"/>
        </w:rPr>
        <w:t>Médium farby 1</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iCs/>
          <w:color w:val="000000" w:themeColor="text1"/>
          <w:sz w:val="16"/>
          <w:szCs w:val="16"/>
        </w:rPr>
        <w:t>Médium farby 2</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iCs/>
          <w:color w:val="000000" w:themeColor="text1"/>
          <w:sz w:val="16"/>
          <w:szCs w:val="16"/>
        </w:rPr>
        <w:t>Médium farby 3</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sz w:val="16"/>
          <w:szCs w:val="16"/>
        </w:rPr>
        <w:t>Didaktika v teórii a praxi 1</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sz w:val="16"/>
          <w:szCs w:val="16"/>
        </w:rPr>
        <w:t>Didaktika v teórii a praxi 2</w:t>
      </w:r>
    </w:p>
    <w:p>
      <w:pPr>
        <w:pStyle w:val="ListParagraph"/>
        <w:numPr>
          <w:ilvl w:val="0"/>
          <w:numId w:val="14"/>
        </w:numPr>
        <w:spacing w:lineRule="auto" w:line="240" w:before="0" w:after="0"/>
        <w:contextualSpacing/>
        <w:jc w:val="both"/>
        <w:rPr>
          <w:rFonts w:cs="Calibri" w:cstheme="minorHAnsi"/>
          <w:i/>
          <w:i/>
          <w:iCs/>
          <w:color w:val="000000" w:themeColor="text1"/>
          <w:sz w:val="16"/>
          <w:szCs w:val="16"/>
        </w:rPr>
      </w:pPr>
      <w:r>
        <w:rPr>
          <w:rFonts w:cs="Calibri" w:cstheme="minorHAnsi"/>
          <w:i/>
          <w:sz w:val="16"/>
          <w:szCs w:val="16"/>
        </w:rPr>
        <w:t>Didaktika v teórii a praxi 3</w:t>
      </w:r>
    </w:p>
    <w:p>
      <w:pPr>
        <w:pStyle w:val="ListParagraph"/>
        <w:spacing w:lineRule="auto" w:line="240" w:before="0" w:after="0"/>
        <w:ind w:left="1429" w:hanging="0"/>
        <w:contextualSpacing/>
        <w:jc w:val="both"/>
        <w:rPr>
          <w:rFonts w:cs="Calibri" w:cstheme="minorHAnsi"/>
          <w:i/>
          <w:i/>
          <w:iCs/>
          <w:color w:val="000000" w:themeColor="text1"/>
          <w:sz w:val="16"/>
          <w:szCs w:val="16"/>
        </w:rPr>
      </w:pPr>
      <w:r>
        <w:rPr>
          <w:rFonts w:cs="Calibri" w:cstheme="minorHAnsi"/>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Všetky informačné listy predmetov obsahujú výstupy vzdelávania a súvisiace kritériá a pravidlá ich hodnotenia. Infolisty sú dostupné na verejnom portáli informačného systému PU: https://student.unipo.sk/maisportal/studijneProgramy.mais</w:t>
      </w:r>
    </w:p>
    <w:p>
      <w:pPr>
        <w:pStyle w:val="ListParagraph"/>
        <w:spacing w:lineRule="auto" w:line="240" w:before="0" w:after="0"/>
        <w:contextualSpacing/>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prerekvizity, korekvizity a odporúčania pri tvorbe študijného plánu</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Prerekvizity a odporúčania pri tvorbe študijného plánu sú vyznačené v infolistoch.</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 xml:space="preserve">pre každú vzdelávaciu časť študijného plánu/predmet stanoví používané vzdelávacie činnosti (prednáška, seminár, záverečná práca, projektová práca,  stáž, exkurzia, odborná prax, štátna skúška a ďalšie, prípadne ich kombinácie) vhodné na dosahovanie výstupov vzdelávania,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Pri každom predmete v rámci odporúčaného študijného plánu sú stanovené používané vzdelávacie činnosti (prednáška, seminár) vrátane ich hodinovej dotácie. Informácie sú obsiahnuté v informačných listoch jednotlivých predmetov.</w:t>
      </w:r>
    </w:p>
    <w:p>
      <w:pPr>
        <w:pStyle w:val="ListParagraph"/>
        <w:spacing w:lineRule="auto" w:line="240" w:before="0" w:after="0"/>
        <w:contextualSpacing/>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metódy, akými sa vzdelávacia činnosť uskutočňuje – prezenčná, dištančná, kombinovaná (v súlade s Informačnými listami predmetov),</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Metódy vzdelávania na všetkých predmetoch sú uvedené v informačných listoch jednotlivých predmetov odporúčaného študijného plánu.</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osnovu/ sylaby predmetu</w:t>
      </w:r>
      <w:r>
        <w:rPr>
          <w:rStyle w:val="FootnoteAnchor"/>
          <w:i/>
          <w:iCs/>
          <w:color w:val="000000" w:themeColor="text1"/>
          <w:szCs w:val="16"/>
        </w:rPr>
        <w:footnoteReference w:id="11"/>
      </w:r>
      <w:r>
        <w:rPr>
          <w:i/>
          <w:iCs/>
          <w:color w:val="000000" w:themeColor="text1"/>
          <w:sz w:val="16"/>
          <w:szCs w:val="16"/>
        </w:rPr>
        <w:t xml:space="preserv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Osnova predmetu je povinnou súčasťou informačných listov všetkých predmetov odporúčaného študijného plánu.</w:t>
      </w:r>
    </w:p>
    <w:p>
      <w:pPr>
        <w:pStyle w:val="ListParagraph"/>
        <w:spacing w:lineRule="auto" w:line="240" w:before="0" w:after="0"/>
        <w:contextualSpacing/>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pracovné zaťaženie študenta („rozsah“ pre jednotlivé predmety a vzdelávacie činnosti samostatne)</w:t>
      </w:r>
      <w:r>
        <w:rPr>
          <w:rStyle w:val="FootnoteAnchor"/>
          <w:i/>
          <w:iCs/>
          <w:color w:val="000000" w:themeColor="text1"/>
          <w:szCs w:val="16"/>
        </w:rPr>
        <w:footnoteReference w:id="12"/>
      </w:r>
      <w:r>
        <w:rPr>
          <w:i/>
          <w:iCs/>
          <w:color w:val="000000" w:themeColor="text1"/>
          <w:sz w:val="16"/>
          <w:szCs w:val="16"/>
        </w:rPr>
        <w:t xml:space="preserv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V jednotlivých informačných listoch predmetov je uvedené pracovné zaťaženie študenta a podiel jednotlivých činností (napr. účasť na priamej vyučovacej činnosti, práca na seminárnej práci, samoštúdium a pod.) na celkovej záťaži študenta.</w:t>
      </w:r>
    </w:p>
    <w:p>
      <w:pPr>
        <w:pStyle w:val="ListParagraph"/>
        <w:spacing w:lineRule="auto" w:line="240" w:before="0" w:after="0"/>
        <w:contextualSpacing/>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 xml:space="preserve">kredity pridelené každej časti na základe dosahovaných výstupov vzdelávania a súvisiaceho pracovného zaťaženia,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Kreditová dotácia predmetov odráža ich náročnosť a intenzitu/mieru pracovného zaťaženia študenta. Počet kreditov uvádza každý informačný list.</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r>
    </w:p>
    <w:p>
      <w:pPr>
        <w:pStyle w:val="ListParagraph"/>
        <w:numPr>
          <w:ilvl w:val="0"/>
          <w:numId w:val="7"/>
        </w:numPr>
        <w:spacing w:lineRule="auto" w:line="240" w:before="0" w:after="0"/>
        <w:contextualSpacing/>
        <w:jc w:val="both"/>
        <w:rPr>
          <w:i/>
          <w:i/>
          <w:iCs/>
          <w:color w:val="000000" w:themeColor="text1"/>
          <w:sz w:val="16"/>
          <w:szCs w:val="16"/>
        </w:rPr>
      </w:pPr>
      <w:r>
        <w:rPr>
          <w:i/>
          <w:iCs/>
          <w:color w:val="000000" w:themeColor="text1"/>
          <w:sz w:val="16"/>
          <w:szCs w:val="16"/>
        </w:rPr>
        <w:t>osobu zabezpečujúcu predmet (alebo partnerskú organizáciu a osobu</w:t>
      </w:r>
      <w:r>
        <w:rPr>
          <w:rStyle w:val="FootnoteAnchor"/>
          <w:i/>
          <w:iCs/>
          <w:color w:val="000000" w:themeColor="text1"/>
          <w:szCs w:val="16"/>
        </w:rPr>
        <w:footnoteReference w:id="13"/>
      </w:r>
      <w:r>
        <w:rPr>
          <w:i/>
          <w:iCs/>
          <w:color w:val="000000" w:themeColor="text1"/>
          <w:sz w:val="16"/>
          <w:szCs w:val="16"/>
        </w:rPr>
        <w:t xml:space="preserve">) s uvedením kontaktu,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Mená osôb zabezpečujúcich jednotlivé predmety študijného programu sú uvedené v každom informačnom liste:</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r>
    </w:p>
    <w:p>
      <w:pPr>
        <w:pStyle w:val="ListParagraph"/>
        <w:numPr>
          <w:ilvl w:val="0"/>
          <w:numId w:val="4"/>
        </w:numPr>
        <w:spacing w:lineRule="auto" w:line="259" w:before="0" w:after="160"/>
        <w:contextualSpacing/>
        <w:rPr>
          <w:rFonts w:cs="Calibri" w:cstheme="minorHAnsi"/>
          <w:i/>
          <w:i/>
          <w:sz w:val="16"/>
          <w:szCs w:val="16"/>
        </w:rPr>
      </w:pPr>
      <w:r>
        <w:rPr>
          <w:rFonts w:cs="Calibri" w:cstheme="minorHAnsi"/>
          <w:i/>
          <w:sz w:val="16"/>
          <w:szCs w:val="16"/>
        </w:rPr>
        <w:t xml:space="preserve">dr. hab. Peter Kocák, PhD., akademický maliar, </w:t>
      </w:r>
      <w:hyperlink r:id="rId4">
        <w:r>
          <w:rPr>
            <w:rStyle w:val="InternetLink"/>
            <w:rFonts w:cs="Calibri" w:cstheme="minorHAnsi"/>
            <w:i/>
            <w:sz w:val="16"/>
            <w:szCs w:val="16"/>
          </w:rPr>
          <w:t>peter.kocak@unipo.sk</w:t>
        </w:r>
      </w:hyperlink>
    </w:p>
    <w:p>
      <w:pPr>
        <w:pStyle w:val="ListParagraph"/>
        <w:ind w:left="360" w:hanging="0"/>
        <w:rPr/>
      </w:pPr>
      <w:r>
        <w:rPr>
          <w:rFonts w:cs="Calibri" w:cstheme="minorHAnsi"/>
          <w:i/>
          <w:sz w:val="16"/>
          <w:szCs w:val="16"/>
        </w:rPr>
        <w:t xml:space="preserve">doc. Vladislav Grešlík, ArtD., </w:t>
      </w:r>
      <w:hyperlink r:id="rId5">
        <w:r>
          <w:rPr>
            <w:rStyle w:val="InternetLink"/>
            <w:rFonts w:cs="Calibri" w:cstheme="minorHAnsi"/>
            <w:i/>
            <w:sz w:val="16"/>
            <w:szCs w:val="16"/>
          </w:rPr>
          <w:t>vladislav.grešlik@unipo.sk</w:t>
        </w:r>
      </w:hyperlink>
    </w:p>
    <w:p>
      <w:pPr>
        <w:pStyle w:val="ListParagraph"/>
        <w:ind w:left="360" w:hanging="0"/>
        <w:rPr>
          <w:rFonts w:cs="Calibri" w:cstheme="minorHAnsi"/>
          <w:i/>
          <w:i/>
          <w:sz w:val="16"/>
          <w:szCs w:val="16"/>
        </w:rPr>
      </w:pPr>
      <w:r>
        <w:rPr>
          <w:rFonts w:cs="Calibri" w:cstheme="minorHAnsi"/>
          <w:i/>
          <w:sz w:val="16"/>
          <w:szCs w:val="16"/>
        </w:rPr>
        <w:t xml:space="preserve">doc. Martin Zbojan,PhD., akademický maliar,  </w:t>
      </w:r>
      <w:hyperlink r:id="rId6">
        <w:r>
          <w:rPr>
            <w:rStyle w:val="InternetLink"/>
            <w:rFonts w:cs="Calibri" w:cstheme="minorHAnsi"/>
            <w:i/>
            <w:sz w:val="16"/>
            <w:szCs w:val="16"/>
          </w:rPr>
          <w:t>martin.zbojan@unipo.sk</w:t>
        </w:r>
      </w:hyperlink>
    </w:p>
    <w:p>
      <w:pPr>
        <w:pStyle w:val="ListParagraph"/>
        <w:ind w:left="360" w:hanging="0"/>
        <w:rPr>
          <w:rStyle w:val="InternetLink"/>
          <w:rFonts w:cs="Calibri" w:cstheme="minorHAnsi"/>
          <w:i/>
          <w:i/>
          <w:sz w:val="16"/>
          <w:szCs w:val="16"/>
        </w:rPr>
      </w:pPr>
      <w:r>
        <w:rPr>
          <w:rFonts w:cs="Calibri" w:cstheme="minorHAnsi"/>
          <w:i/>
          <w:sz w:val="16"/>
          <w:szCs w:val="16"/>
        </w:rPr>
        <w:t xml:space="preserve">Mgr. Jaroslav Ondo, PhD., </w:t>
      </w:r>
      <w:hyperlink r:id="rId7">
        <w:r>
          <w:rPr>
            <w:rStyle w:val="InternetLink"/>
            <w:rFonts w:cs="Calibri" w:cstheme="minorHAnsi"/>
            <w:i/>
            <w:sz w:val="16"/>
            <w:szCs w:val="16"/>
          </w:rPr>
          <w:t>jaroslav.ondo@unipo.sk</w:t>
        </w:r>
      </w:hyperlink>
    </w:p>
    <w:p>
      <w:pPr>
        <w:pStyle w:val="ListParagraph"/>
        <w:ind w:left="360" w:hanging="0"/>
        <w:rPr>
          <w:rFonts w:cs="Calibri" w:cstheme="minorHAnsi"/>
          <w:i/>
          <w:i/>
          <w:sz w:val="16"/>
          <w:szCs w:val="16"/>
          <w:lang w:val="en-US"/>
        </w:rPr>
      </w:pPr>
      <w:r>
        <w:rPr>
          <w:rFonts w:cs="Calibri" w:cstheme="minorHAnsi"/>
          <w:i/>
          <w:sz w:val="16"/>
          <w:szCs w:val="16"/>
        </w:rPr>
        <w:t>Mgr. art. Adam Macko, ArtD. adam.macko</w:t>
      </w:r>
      <w:r>
        <w:rPr>
          <w:rFonts w:cs="Calibri" w:cstheme="minorHAnsi"/>
          <w:i/>
          <w:sz w:val="16"/>
          <w:szCs w:val="16"/>
          <w:lang w:val="en-US"/>
        </w:rPr>
        <w:t>@unipo.sk</w:t>
      </w:r>
    </w:p>
    <w:p>
      <w:pPr>
        <w:pStyle w:val="ListParagraph"/>
        <w:ind w:left="360" w:hanging="0"/>
        <w:rPr>
          <w:rFonts w:cs="Calibri" w:cstheme="minorHAnsi"/>
          <w:i/>
          <w:i/>
          <w:sz w:val="16"/>
          <w:szCs w:val="16"/>
        </w:rPr>
      </w:pPr>
      <w:r>
        <w:rPr>
          <w:rFonts w:cs="Calibri" w:cstheme="minorHAnsi"/>
          <w:i/>
          <w:sz w:val="16"/>
          <w:szCs w:val="16"/>
        </w:rPr>
        <w:t xml:space="preserve">Mgr. art. Vladimír Ganaj, ArtD., </w:t>
      </w:r>
      <w:hyperlink r:id="rId8">
        <w:r>
          <w:rPr>
            <w:rStyle w:val="InternetLink"/>
            <w:rFonts w:cs="Calibri" w:cstheme="minorHAnsi"/>
            <w:i/>
            <w:sz w:val="16"/>
            <w:szCs w:val="16"/>
          </w:rPr>
          <w:t>vladimir.ganaj@unipo.sk</w:t>
        </w:r>
      </w:hyperlink>
    </w:p>
    <w:p>
      <w:pPr>
        <w:pStyle w:val="ListParagraph"/>
        <w:ind w:left="360" w:hanging="0"/>
        <w:rPr>
          <w:rFonts w:cs="Calibri" w:cstheme="minorHAnsi"/>
          <w:i/>
          <w:i/>
          <w:sz w:val="16"/>
          <w:szCs w:val="16"/>
        </w:rPr>
      </w:pPr>
      <w:r>
        <w:rPr>
          <w:rFonts w:cs="Calibri" w:cstheme="minorHAnsi"/>
          <w:i/>
          <w:sz w:val="16"/>
          <w:szCs w:val="16"/>
        </w:rPr>
        <w:t>Mgr. art. Radka Baňacká</w:t>
      </w:r>
    </w:p>
    <w:p>
      <w:pPr>
        <w:pStyle w:val="ListParagraph"/>
        <w:ind w:left="360" w:hanging="0"/>
        <w:rPr>
          <w:rFonts w:cs="Calibri" w:cstheme="minorHAnsi"/>
          <w:i/>
          <w:i/>
          <w:sz w:val="16"/>
          <w:szCs w:val="16"/>
        </w:rPr>
      </w:pPr>
      <w:r>
        <w:rPr>
          <w:rFonts w:cs="Calibri" w:cstheme="minorHAnsi"/>
          <w:i/>
          <w:sz w:val="16"/>
          <w:szCs w:val="16"/>
        </w:rPr>
      </w:r>
    </w:p>
    <w:p>
      <w:pPr>
        <w:pStyle w:val="ListParagraph"/>
        <w:numPr>
          <w:ilvl w:val="0"/>
          <w:numId w:val="7"/>
        </w:numPr>
        <w:spacing w:lineRule="auto" w:line="240" w:before="0" w:after="0"/>
        <w:contextualSpacing/>
        <w:jc w:val="both"/>
        <w:rPr>
          <w:rFonts w:cs="Calibri" w:cstheme="minorHAnsi"/>
          <w:i/>
          <w:i/>
          <w:iCs/>
          <w:sz w:val="16"/>
          <w:szCs w:val="16"/>
        </w:rPr>
      </w:pPr>
      <w:r>
        <w:rPr>
          <w:rFonts w:cs="Calibri" w:cstheme="minorHAnsi"/>
          <w:i/>
          <w:iCs/>
          <w:sz w:val="16"/>
          <w:szCs w:val="16"/>
        </w:rPr>
        <w:t xml:space="preserve">učiteľov predmetu (alebo podieľajúce sa partnerské organizácie a osoby) (môžu byť uvedené aj v IL predmetov), </w:t>
      </w:r>
    </w:p>
    <w:p>
      <w:pPr>
        <w:pStyle w:val="ListParagraph"/>
        <w:spacing w:lineRule="auto" w:line="240" w:before="0" w:after="0"/>
        <w:contextualSpacing/>
        <w:jc w:val="both"/>
        <w:rPr>
          <w:rFonts w:cs="Calibri" w:cstheme="minorHAnsi"/>
          <w:i/>
          <w:i/>
          <w:iCs/>
          <w:sz w:val="16"/>
          <w:szCs w:val="16"/>
        </w:rPr>
      </w:pPr>
      <w:r>
        <w:rPr>
          <w:rFonts w:cs="Calibri" w:cstheme="minorHAnsi"/>
          <w:i/>
          <w:iCs/>
          <w:sz w:val="16"/>
          <w:szCs w:val="16"/>
        </w:rPr>
      </w:r>
    </w:p>
    <w:p>
      <w:pPr>
        <w:pStyle w:val="ListParagraph"/>
        <w:numPr>
          <w:ilvl w:val="0"/>
          <w:numId w:val="7"/>
        </w:numPr>
        <w:spacing w:lineRule="auto" w:line="240" w:before="0" w:after="0"/>
        <w:contextualSpacing/>
        <w:jc w:val="both"/>
        <w:rPr>
          <w:rFonts w:cs="Calibri" w:cstheme="minorHAnsi"/>
          <w:i/>
          <w:i/>
          <w:iCs/>
          <w:sz w:val="16"/>
          <w:szCs w:val="16"/>
        </w:rPr>
      </w:pPr>
      <w:r>
        <w:rPr>
          <w:rFonts w:cs="Calibri" w:cstheme="minorHAnsi"/>
          <w:i/>
          <w:iCs/>
          <w:sz w:val="16"/>
          <w:szCs w:val="16"/>
        </w:rPr>
        <w:t>miesto uskutočňovania predmetu (ak sa študijný programu uskutočňuje na viacerých pracoviskách).</w:t>
      </w:r>
    </w:p>
    <w:p>
      <w:pPr>
        <w:pStyle w:val="Normal"/>
        <w:spacing w:lineRule="auto" w:line="240" w:before="0" w:after="0"/>
        <w:ind w:left="709" w:hanging="0"/>
        <w:jc w:val="both"/>
        <w:rPr>
          <w:i/>
          <w:i/>
          <w:iCs/>
          <w:color w:val="000000" w:themeColor="text1"/>
          <w:sz w:val="16"/>
          <w:szCs w:val="16"/>
        </w:rPr>
      </w:pPr>
      <w:r>
        <w:rPr>
          <w:rFonts w:cs="Calibri" w:cstheme="minorHAnsi"/>
          <w:i/>
          <w:iCs/>
          <w:sz w:val="16"/>
          <w:szCs w:val="16"/>
        </w:rPr>
        <w:t xml:space="preserve">     </w:t>
      </w:r>
      <w:r>
        <w:rPr>
          <w:i/>
          <w:iCs/>
          <w:color w:val="000000" w:themeColor="text1"/>
          <w:sz w:val="16"/>
          <w:szCs w:val="16"/>
        </w:rPr>
        <w:t>Študijný program sa uskutočňuje v mieste sídla univerzity a fakulty, okrem pedagogických praxí, ktoré sa realizujú na cvičných</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     </w:t>
      </w:r>
      <w:r>
        <w:rPr>
          <w:i/>
          <w:iCs/>
          <w:color w:val="000000" w:themeColor="text1"/>
          <w:sz w:val="16"/>
          <w:szCs w:val="16"/>
        </w:rPr>
        <w:t>školách Prešovskej univerzity.</w:t>
      </w:r>
    </w:p>
    <w:p>
      <w:pPr>
        <w:pStyle w:val="ListParagraph"/>
        <w:spacing w:lineRule="auto" w:line="240" w:before="0" w:after="0"/>
        <w:contextualSpacing/>
        <w:jc w:val="both"/>
        <w:rPr>
          <w:rFonts w:cs="Calibri" w:cstheme="minorHAnsi"/>
          <w:i/>
          <w:i/>
          <w:iCs/>
          <w:sz w:val="16"/>
          <w:szCs w:val="16"/>
        </w:rPr>
      </w:pPr>
      <w:r>
        <w:rPr>
          <w:rFonts w:cs="Calibri" w:cstheme="minorHAnsi"/>
          <w:i/>
          <w:iCs/>
          <w:sz w:val="16"/>
          <w:szCs w:val="16"/>
        </w:rPr>
      </w:r>
    </w:p>
    <w:p>
      <w:pPr>
        <w:pStyle w:val="Normal"/>
        <w:spacing w:lineRule="auto" w:line="240" w:before="0" w:after="0"/>
        <w:rPr>
          <w:rFonts w:ascii="Times New Roman" w:hAnsi="Times New Roman"/>
          <w:b/>
          <w:b/>
          <w:i/>
          <w:i/>
          <w:sz w:val="24"/>
          <w:szCs w:val="24"/>
        </w:rPr>
      </w:pPr>
      <w:r>
        <w:rPr>
          <w:rFonts w:ascii="Times New Roman" w:hAnsi="Times New Roman"/>
          <w:b/>
          <w:i/>
          <w:sz w:val="24"/>
          <w:szCs w:val="24"/>
        </w:rPr>
      </w:r>
      <w:r>
        <w:br w:type="page"/>
      </w:r>
    </w:p>
    <w:p>
      <w:pPr>
        <w:pStyle w:val="Standard"/>
        <w:spacing w:lineRule="auto" w:line="240" w:before="0" w:after="0"/>
        <w:rPr>
          <w:rFonts w:ascii="Times New Roman" w:hAnsi="Times New Roman" w:cs="Times New Roman"/>
          <w:b/>
          <w:b/>
          <w:i/>
          <w:i/>
          <w:sz w:val="24"/>
          <w:szCs w:val="24"/>
        </w:rPr>
      </w:pPr>
      <w:r>
        <w:rPr>
          <w:rFonts w:cs="Times New Roman" w:ascii="Times New Roman" w:hAnsi="Times New Roman"/>
          <w:b/>
          <w:i/>
          <w:sz w:val="24"/>
          <w:szCs w:val="24"/>
        </w:rPr>
        <w:t>Študijný program: Učiteľstvo výtvarného umenia v kombinácii</w:t>
      </w:r>
    </w:p>
    <w:p>
      <w:pPr>
        <w:pStyle w:val="Standard"/>
        <w:spacing w:lineRule="auto" w:line="240" w:before="0" w:after="0"/>
        <w:rPr>
          <w:rFonts w:ascii="Times New Roman" w:hAnsi="Times New Roman" w:cs="Times New Roman"/>
          <w:b/>
          <w:b/>
          <w:i/>
          <w:i/>
          <w:sz w:val="24"/>
          <w:szCs w:val="24"/>
        </w:rPr>
      </w:pPr>
      <w:r>
        <w:rPr>
          <w:rFonts w:cs="Times New Roman" w:ascii="Times New Roman" w:hAnsi="Times New Roman"/>
          <w:b/>
          <w:i/>
          <w:sz w:val="24"/>
          <w:szCs w:val="24"/>
        </w:rPr>
        <w:t>Stupeň štúdia: 2. (druhý) Mgr.</w:t>
      </w:r>
    </w:p>
    <w:p>
      <w:pPr>
        <w:pStyle w:val="Standard"/>
        <w:spacing w:lineRule="auto" w:line="240" w:before="0" w:after="0"/>
        <w:rPr>
          <w:rFonts w:ascii="Times New Roman" w:hAnsi="Times New Roman" w:cs="Times New Roman"/>
          <w:b/>
          <w:b/>
          <w:i/>
          <w:i/>
          <w:sz w:val="24"/>
          <w:szCs w:val="24"/>
        </w:rPr>
      </w:pPr>
      <w:r>
        <w:rPr>
          <w:rFonts w:cs="Times New Roman" w:ascii="Times New Roman" w:hAnsi="Times New Roman"/>
          <w:b/>
          <w:i/>
          <w:sz w:val="24"/>
          <w:szCs w:val="24"/>
        </w:rPr>
        <w:t>Forma štúdia: denná</w:t>
      </w:r>
    </w:p>
    <w:p>
      <w:pPr>
        <w:pStyle w:val="Standard"/>
        <w:spacing w:lineRule="auto" w:line="240" w:before="0" w:after="0"/>
        <w:rPr>
          <w:rFonts w:ascii="Times New Roman" w:hAnsi="Times New Roman" w:cs="Times New Roman"/>
          <w:b/>
          <w:b/>
          <w:i/>
          <w:i/>
          <w:sz w:val="24"/>
          <w:szCs w:val="24"/>
        </w:rPr>
      </w:pPr>
      <w:r>
        <w:rPr>
          <w:rFonts w:cs="Times New Roman" w:ascii="Times New Roman" w:hAnsi="Times New Roman"/>
          <w:b/>
          <w:i/>
          <w:sz w:val="24"/>
          <w:szCs w:val="24"/>
        </w:rPr>
      </w:r>
    </w:p>
    <w:tbl>
      <w:tblPr>
        <w:tblW w:w="14425" w:type="dxa"/>
        <w:jc w:val="left"/>
        <w:tblInd w:w="-108" w:type="dxa"/>
        <w:tblLayout w:type="fixed"/>
        <w:tblCellMar>
          <w:top w:w="0" w:type="dxa"/>
          <w:left w:w="108" w:type="dxa"/>
          <w:bottom w:w="0" w:type="dxa"/>
          <w:right w:w="108" w:type="dxa"/>
        </w:tblCellMar>
      </w:tblPr>
      <w:tblGrid>
        <w:gridCol w:w="1970"/>
        <w:gridCol w:w="3100"/>
        <w:gridCol w:w="850"/>
        <w:gridCol w:w="851"/>
        <w:gridCol w:w="1133"/>
        <w:gridCol w:w="993"/>
        <w:gridCol w:w="2126"/>
        <w:gridCol w:w="3402"/>
      </w:tblGrid>
      <w:tr>
        <w:trPr>
          <w:trHeight w:val="196" w:hRule="atLeast"/>
        </w:trPr>
        <w:tc>
          <w:tcPr>
            <w:tcW w:w="14425" w:type="dxa"/>
            <w:gridSpan w:val="8"/>
            <w:tcBorders>
              <w:top w:val="single" w:sz="4" w:space="0" w:color="000000"/>
              <w:left w:val="single" w:sz="12" w:space="0" w:color="000000"/>
              <w:bottom w:val="single" w:sz="4" w:space="0" w:color="000000"/>
              <w:right w:val="single" w:sz="12" w:space="0" w:color="000000"/>
            </w:tcBorders>
          </w:tcPr>
          <w:p>
            <w:pPr>
              <w:pStyle w:val="Standard"/>
              <w:widowControl w:val="false"/>
              <w:spacing w:before="0" w:after="0"/>
              <w:rPr>
                <w:rFonts w:ascii="Times New Roman" w:hAnsi="Times New Roman" w:cs="Times New Roman"/>
                <w:b/>
                <w:b/>
                <w:i/>
                <w:i/>
                <w:sz w:val="20"/>
                <w:szCs w:val="20"/>
              </w:rPr>
            </w:pPr>
            <w:r>
              <w:rPr>
                <w:rFonts w:cs="Times New Roman" w:ascii="Times New Roman" w:hAnsi="Times New Roman"/>
                <w:b/>
                <w:i/>
                <w:sz w:val="20"/>
                <w:szCs w:val="20"/>
              </w:rPr>
              <w:t>POVINNÉ PREDMETY</w:t>
            </w:r>
          </w:p>
        </w:tc>
      </w:tr>
      <w:tr>
        <w:trPr>
          <w:trHeight w:val="196"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Kód predmetu</w:t>
            </w:r>
          </w:p>
        </w:tc>
        <w:tc>
          <w:tcPr>
            <w:tcW w:w="310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Názov predmetu</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Kredity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Rozsah</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Hodnotenie</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Semester</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Profilový predmet</w:t>
            </w:r>
          </w:p>
        </w:tc>
        <w:tc>
          <w:tcPr>
            <w:tcW w:w="3402" w:type="dxa"/>
            <w:tcBorders>
              <w:top w:val="single" w:sz="4" w:space="0" w:color="000000"/>
              <w:left w:val="single" w:sz="4" w:space="0" w:color="000000"/>
              <w:bottom w:val="single" w:sz="4" w:space="0" w:color="000000"/>
              <w:right w:val="single" w:sz="12"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Vyučujúci</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1IHVU/V2M/DVUMC/22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pPr>
            <w:r>
              <w:rPr>
                <w:rFonts w:cs="Times New Roman" w:ascii="Times New Roman" w:hAnsi="Times New Roman"/>
                <w:i/>
                <w:sz w:val="16"/>
                <w:szCs w:val="16"/>
              </w:rPr>
              <w:t>Dejiny výtvarného umenia mimoeurópskych civilizácií</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1IHVU/V2M/DVV1/22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Didaktika v teórii a praxi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1IHVU/V2M/HTG1/22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Hĺbkotlačová grafika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pPr>
            <w:r>
              <w:rPr>
                <w:rFonts w:cs="Times New Roman" w:ascii="Times New Roman" w:hAnsi="Times New Roman"/>
                <w:i/>
                <w:sz w:val="16"/>
              </w:rPr>
              <w:t>Peter Kocák, akad. mal.,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1IHVU/V2M/MF1/22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Médium farby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Martin Zbojan, akad. mal.,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bCs/>
                <w:i/>
                <w:sz w:val="16"/>
                <w:szCs w:val="16"/>
              </w:rPr>
              <w:t>1IHVU/V2M/EVUS/22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Exkurzia. Výtvarné umenie Slovenska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5 dní/ sem.</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A</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1IHVU/V2M/DVUS/22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Dejiny výtvarného umenia Slovenska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1IHVU/V2M/DVV2/22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Didaktika v teórii a praxi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1IHVU/V2M/MF2/22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Médium farby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Martin Zbojan, akad. mal.,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i/>
                <w:sz w:val="16"/>
                <w:szCs w:val="16"/>
              </w:rPr>
              <w:t>1IHVU/V/PP1/22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Predmetová prax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pPr>
            <w:r>
              <w:rPr>
                <w:rFonts w:cs="Times New Roman" w:ascii="Times New Roman" w:hAnsi="Times New Roman"/>
                <w:i/>
                <w:sz w:val="18"/>
                <w:szCs w:val="18"/>
              </w:rPr>
              <w:t>2 týždne</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A</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1IHVU/V2M/ETP/22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Experimentálna tvorba v prírode</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pPr>
            <w:r>
              <w:rPr>
                <w:rFonts w:cs="Times New Roman" w:ascii="Times New Roman" w:hAnsi="Times New Roman"/>
                <w:i/>
                <w:sz w:val="18"/>
                <w:szCs w:val="18"/>
              </w:rPr>
              <w:t>7 dní/ sem.</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A</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Martin Zbojan, akad. mal.,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1IHVU/V2M/MTDVU/22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Times New Roman" w:hAnsi="Times New Roman" w:cs="Times New Roman"/>
                <w:i/>
                <w:i/>
                <w:sz w:val="16"/>
                <w:szCs w:val="16"/>
              </w:rPr>
            </w:pPr>
            <w:r>
              <w:rPr>
                <w:rFonts w:cs="Times New Roman" w:ascii="Times New Roman" w:hAnsi="Times New Roman"/>
                <w:i/>
                <w:sz w:val="16"/>
                <w:szCs w:val="16"/>
              </w:rPr>
              <w:t>Metodológia dejín výtvarného umenia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S</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bCs/>
                <w:i/>
                <w:sz w:val="16"/>
                <w:szCs w:val="16"/>
              </w:rPr>
              <w:t>1IHVU/V2M/DS1/22</w:t>
            </w:r>
          </w:p>
        </w:tc>
        <w:tc>
          <w:tcPr>
            <w:tcW w:w="3100" w:type="dxa"/>
            <w:tcBorders>
              <w:top w:val="single" w:sz="4" w:space="0" w:color="000000"/>
              <w:left w:val="single" w:sz="4" w:space="0" w:color="000000"/>
              <w:bottom w:val="single" w:sz="4" w:space="0" w:color="000000"/>
              <w:right w:val="single" w:sz="4" w:space="0" w:color="000000"/>
            </w:tcBorders>
          </w:tcPr>
          <w:p>
            <w:pPr>
              <w:pStyle w:val="Footer"/>
              <w:widowControl w:val="false"/>
              <w:tabs>
                <w:tab w:val="clear" w:pos="4536"/>
                <w:tab w:val="clear" w:pos="9072"/>
              </w:tabs>
              <w:rPr>
                <w:i/>
                <w:i/>
                <w:sz w:val="16"/>
                <w:szCs w:val="16"/>
              </w:rPr>
            </w:pPr>
            <w:r>
              <w:rPr>
                <w:i/>
                <w:sz w:val="16"/>
                <w:szCs w:val="16"/>
              </w:rPr>
              <w:t>Diplomový seminár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pPr>
            <w:r>
              <w:rPr>
                <w:rFonts w:cs="Times New Roman" w:ascii="Times New Roman" w:hAnsi="Times New Roman"/>
                <w:i/>
                <w:sz w:val="18"/>
                <w:szCs w:val="18"/>
              </w:rPr>
              <w:t>4</w:t>
            </w:r>
            <w:r>
              <w:rPr>
                <w:rFonts w:cs="Times New Roman" w:ascii="Times New Roman" w:hAnsi="Times New Roman"/>
                <w:i/>
                <w:sz w:val="18"/>
                <w:szCs w:val="18"/>
                <w:lang w:val="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1IHVU/V/PP2/22</w:t>
            </w:r>
          </w:p>
        </w:tc>
        <w:tc>
          <w:tcPr>
            <w:tcW w:w="3100" w:type="dxa"/>
            <w:tcBorders>
              <w:top w:val="single" w:sz="4" w:space="0" w:color="000000"/>
              <w:left w:val="single" w:sz="4" w:space="0" w:color="000000"/>
              <w:bottom w:val="single" w:sz="4" w:space="0" w:color="000000"/>
              <w:right w:val="single" w:sz="4" w:space="0" w:color="000000"/>
            </w:tcBorders>
          </w:tcPr>
          <w:p>
            <w:pPr>
              <w:pStyle w:val="Footer"/>
              <w:widowControl w:val="false"/>
              <w:tabs>
                <w:tab w:val="clear" w:pos="4536"/>
                <w:tab w:val="clear" w:pos="9072"/>
              </w:tabs>
              <w:rPr>
                <w:i/>
                <w:i/>
                <w:sz w:val="16"/>
                <w:szCs w:val="16"/>
              </w:rPr>
            </w:pPr>
            <w:r>
              <w:rPr>
                <w:i/>
                <w:sz w:val="16"/>
                <w:szCs w:val="16"/>
              </w:rPr>
              <w:t>Predmetová prax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 týždne</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A</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bCs/>
                <w:i/>
                <w:i/>
                <w:sz w:val="16"/>
                <w:szCs w:val="16"/>
              </w:rPr>
            </w:pPr>
            <w:r>
              <w:rPr>
                <w:rFonts w:cs="Times New Roman" w:ascii="Times New Roman" w:hAnsi="Times New Roman"/>
                <w:bCs/>
                <w:i/>
                <w:sz w:val="16"/>
                <w:szCs w:val="16"/>
              </w:rPr>
              <w:t>1IHVU/V2M/DS2/22</w:t>
            </w:r>
          </w:p>
        </w:tc>
        <w:tc>
          <w:tcPr>
            <w:tcW w:w="3100" w:type="dxa"/>
            <w:tcBorders>
              <w:top w:val="single" w:sz="4" w:space="0" w:color="000000"/>
              <w:left w:val="single" w:sz="4" w:space="0" w:color="000000"/>
              <w:bottom w:val="single" w:sz="4" w:space="0" w:color="000000"/>
              <w:right w:val="single" w:sz="4" w:space="0" w:color="000000"/>
            </w:tcBorders>
          </w:tcPr>
          <w:p>
            <w:pPr>
              <w:pStyle w:val="Footer"/>
              <w:widowControl w:val="false"/>
              <w:tabs>
                <w:tab w:val="clear" w:pos="4536"/>
                <w:tab w:val="clear" w:pos="9072"/>
              </w:tabs>
              <w:rPr>
                <w:i/>
                <w:i/>
                <w:sz w:val="16"/>
                <w:szCs w:val="16"/>
              </w:rPr>
            </w:pPr>
            <w:r>
              <w:rPr>
                <w:i/>
                <w:sz w:val="16"/>
                <w:szCs w:val="16"/>
              </w:rPr>
              <w:t>Diplomový seminár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pPr>
            <w:r>
              <w:rPr>
                <w:rFonts w:cs="Times New Roman" w:ascii="Times New Roman" w:hAnsi="Times New Roman"/>
                <w:i/>
                <w:sz w:val="18"/>
                <w:szCs w:val="18"/>
              </w:rPr>
              <w:t>2</w:t>
            </w:r>
            <w:r>
              <w:rPr>
                <w:rFonts w:cs="Times New Roman" w:ascii="Times New Roman" w:hAnsi="Times New Roman"/>
                <w:i/>
                <w:sz w:val="18"/>
                <w:szCs w:val="18"/>
                <w:lang w:val="en-US"/>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i/>
                <w:sz w:val="16"/>
                <w:szCs w:val="16"/>
              </w:rPr>
              <w:t>1IHVU/V/SPP/22</w:t>
            </w:r>
          </w:p>
        </w:tc>
        <w:tc>
          <w:tcPr>
            <w:tcW w:w="3100" w:type="dxa"/>
            <w:tcBorders>
              <w:top w:val="single" w:sz="4" w:space="0" w:color="000000"/>
              <w:left w:val="single" w:sz="4" w:space="0" w:color="000000"/>
              <w:bottom w:val="single" w:sz="4" w:space="0" w:color="000000"/>
              <w:right w:val="single" w:sz="4" w:space="0" w:color="000000"/>
            </w:tcBorders>
          </w:tcPr>
          <w:p>
            <w:pPr>
              <w:pStyle w:val="Footer"/>
              <w:widowControl w:val="false"/>
              <w:tabs>
                <w:tab w:val="clear" w:pos="4536"/>
                <w:tab w:val="clear" w:pos="9072"/>
              </w:tabs>
              <w:rPr>
                <w:i/>
                <w:i/>
                <w:sz w:val="16"/>
                <w:szCs w:val="16"/>
              </w:rPr>
            </w:pPr>
            <w:r>
              <w:rPr>
                <w:i/>
                <w:sz w:val="16"/>
                <w:szCs w:val="16"/>
              </w:rPr>
              <w:t>Súvislá pedagogická prax</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pPr>
            <w:r>
              <w:rPr>
                <w:rFonts w:cs="Times New Roman" w:ascii="Times New Roman" w:hAnsi="Times New Roman"/>
                <w:i/>
                <w:sz w:val="18"/>
                <w:szCs w:val="18"/>
              </w:rPr>
              <w:t>6</w:t>
            </w:r>
            <w:r>
              <w:rPr>
                <w:rFonts w:cs="Times New Roman" w:ascii="Times New Roman" w:hAnsi="Times New Roman"/>
                <w:i/>
                <w:sz w:val="18"/>
                <w:szCs w:val="18"/>
                <w:lang w:val="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4 týždne</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A</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bCs/>
                <w:i/>
                <w:i/>
                <w:sz w:val="16"/>
                <w:szCs w:val="16"/>
              </w:rPr>
            </w:pPr>
            <w:r>
              <w:rPr>
                <w:rFonts w:cs="Times New Roman" w:ascii="Times New Roman" w:hAnsi="Times New Roman"/>
                <w:bCs/>
                <w:i/>
                <w:sz w:val="16"/>
                <w:szCs w:val="16"/>
              </w:rPr>
              <w:t>1IHVU/V/OBDIP/22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Obhajoba záverečnej diplomovej práce</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pPr>
            <w:r>
              <w:rPr>
                <w:rFonts w:cs="Times New Roman" w:ascii="Times New Roman" w:hAnsi="Times New Roman"/>
                <w:i/>
                <w:sz w:val="18"/>
                <w:szCs w:val="18"/>
              </w:rPr>
              <w:t>7</w:t>
            </w:r>
            <w:r>
              <w:rPr>
                <w:rFonts w:cs="Times New Roman" w:ascii="Times New Roman" w:hAnsi="Times New Roman"/>
                <w:i/>
                <w:sz w:val="18"/>
                <w:szCs w:val="18"/>
                <w:lang w:val="en-US"/>
              </w:rPr>
              <w:t>+7**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ŠS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Skúšobná komisia schválená vedeckou radou FF</w:t>
            </w:r>
          </w:p>
        </w:tc>
      </w:tr>
      <w:tr>
        <w:trPr>
          <w:trHeight w:val="194" w:hRule="atLeast"/>
        </w:trPr>
        <w:tc>
          <w:tcPr>
            <w:tcW w:w="1970"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1IHVU/V2M/ŠS/22</w:t>
            </w:r>
          </w:p>
        </w:tc>
        <w:tc>
          <w:tcPr>
            <w:tcW w:w="310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Štátna skúška výtvarné umenie</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ŠS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Skúšobná komisia schválená vedeckou radou FF</w:t>
            </w:r>
          </w:p>
        </w:tc>
      </w:tr>
    </w:tbl>
    <w:p>
      <w:pPr>
        <w:pStyle w:val="Standard"/>
        <w:rPr>
          <w:rFonts w:ascii="Times New Roman" w:hAnsi="Times New Roman" w:cs="Times New Roman"/>
          <w:i/>
          <w:i/>
        </w:rPr>
      </w:pPr>
      <w:r>
        <w:rPr>
          <w:rFonts w:cs="Times New Roman" w:ascii="Times New Roman" w:hAnsi="Times New Roman"/>
          <w:i/>
        </w:rPr>
      </w:r>
    </w:p>
    <w:p>
      <w:pPr>
        <w:pStyle w:val="Standard"/>
        <w:spacing w:lineRule="auto" w:line="240" w:before="0" w:after="0"/>
        <w:rPr>
          <w:rFonts w:ascii="Times New Roman" w:hAnsi="Times New Roman" w:cs="Times New Roman"/>
          <w:i/>
          <w:i/>
        </w:rPr>
      </w:pPr>
      <w:r>
        <w:rPr>
          <w:rFonts w:cs="Times New Roman" w:ascii="Times New Roman" w:hAnsi="Times New Roman"/>
          <w:i/>
        </w:rPr>
        <w:t>* z dotácie spoločného učiteľského základu</w:t>
      </w:r>
    </w:p>
    <w:p>
      <w:pPr>
        <w:pStyle w:val="Standard"/>
        <w:rPr>
          <w:rFonts w:ascii="Times New Roman" w:hAnsi="Times New Roman" w:cs="Times New Roman"/>
          <w:i/>
          <w:i/>
        </w:rPr>
      </w:pPr>
      <w:r>
        <w:rPr>
          <w:rFonts w:cs="Times New Roman" w:ascii="Times New Roman" w:hAnsi="Times New Roman"/>
          <w:i/>
        </w:rPr>
        <w:t>** polovica kreditov sa ráta pre druhú aprobáciu</w:t>
      </w:r>
    </w:p>
    <w:tbl>
      <w:tblPr>
        <w:tblW w:w="14425" w:type="dxa"/>
        <w:jc w:val="left"/>
        <w:tblInd w:w="-108" w:type="dxa"/>
        <w:tblLayout w:type="fixed"/>
        <w:tblCellMar>
          <w:top w:w="0" w:type="dxa"/>
          <w:left w:w="108" w:type="dxa"/>
          <w:bottom w:w="0" w:type="dxa"/>
          <w:right w:w="108" w:type="dxa"/>
        </w:tblCellMar>
      </w:tblPr>
      <w:tblGrid>
        <w:gridCol w:w="1808"/>
        <w:gridCol w:w="3262"/>
        <w:gridCol w:w="850"/>
        <w:gridCol w:w="851"/>
        <w:gridCol w:w="1133"/>
        <w:gridCol w:w="993"/>
        <w:gridCol w:w="2126"/>
        <w:gridCol w:w="3402"/>
      </w:tblGrid>
      <w:tr>
        <w:trPr>
          <w:trHeight w:val="196" w:hRule="atLeast"/>
        </w:trPr>
        <w:tc>
          <w:tcPr>
            <w:tcW w:w="14425" w:type="dxa"/>
            <w:gridSpan w:val="8"/>
            <w:tcBorders>
              <w:top w:val="single" w:sz="4" w:space="0" w:color="000000"/>
              <w:left w:val="single" w:sz="12" w:space="0" w:color="000000"/>
              <w:bottom w:val="single" w:sz="4" w:space="0" w:color="000000"/>
              <w:right w:val="single" w:sz="12" w:space="0" w:color="000000"/>
            </w:tcBorders>
          </w:tcPr>
          <w:p>
            <w:pPr>
              <w:pStyle w:val="Standard"/>
              <w:widowControl w:val="false"/>
              <w:spacing w:before="0" w:after="0"/>
              <w:rPr/>
            </w:pPr>
            <w:r>
              <w:rPr>
                <w:rFonts w:cs="Times New Roman" w:ascii="Times New Roman" w:hAnsi="Times New Roman"/>
                <w:b/>
                <w:i/>
                <w:sz w:val="20"/>
                <w:szCs w:val="20"/>
              </w:rPr>
              <w:t xml:space="preserve">POVINNE VOLITEĽNÉ PREDMETY  </w:t>
            </w:r>
            <w:r>
              <w:rPr>
                <w:rFonts w:cs="Times New Roman" w:ascii="Times New Roman" w:hAnsi="Times New Roman"/>
                <w:b/>
                <w:i/>
                <w:sz w:val="16"/>
                <w:szCs w:val="16"/>
              </w:rPr>
              <w:t>získať minimálne 6 kreditov</w:t>
            </w:r>
          </w:p>
          <w:p>
            <w:pPr>
              <w:pStyle w:val="Standard"/>
              <w:widowControl w:val="false"/>
              <w:spacing w:before="0" w:after="0"/>
              <w:rPr>
                <w:rFonts w:ascii="Times New Roman" w:hAnsi="Times New Roman" w:cs="Times New Roman"/>
                <w:b/>
                <w:b/>
                <w:i/>
                <w:i/>
                <w:sz w:val="16"/>
                <w:szCs w:val="16"/>
              </w:rPr>
            </w:pPr>
            <w:r>
              <w:rPr>
                <w:rFonts w:cs="Times New Roman" w:ascii="Times New Roman" w:hAnsi="Times New Roman"/>
                <w:b/>
                <w:i/>
                <w:sz w:val="16"/>
                <w:szCs w:val="16"/>
              </w:rPr>
              <w:t>Z povinne voliteľných predmetov si študent vyberá podľa vlastného uváženia a uvedených usmernení tak, aby dosiahol minimálne 6 kreditov</w:t>
            </w:r>
          </w:p>
        </w:tc>
      </w:tr>
      <w:tr>
        <w:trPr>
          <w:trHeight w:val="196"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Kód predmetu</w:t>
            </w:r>
          </w:p>
        </w:tc>
        <w:tc>
          <w:tcPr>
            <w:tcW w:w="326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Názov predmetu</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Kredity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Rozsah</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Hodnotenie</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Semester</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Profilový predmet</w:t>
            </w:r>
          </w:p>
        </w:tc>
        <w:tc>
          <w:tcPr>
            <w:tcW w:w="3402" w:type="dxa"/>
            <w:tcBorders>
              <w:top w:val="single" w:sz="4" w:space="0" w:color="000000"/>
              <w:left w:val="single" w:sz="4" w:space="0" w:color="000000"/>
              <w:bottom w:val="single" w:sz="4" w:space="0" w:color="000000"/>
              <w:right w:val="single" w:sz="12"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Vyučujúci</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bCs/>
                <w:i/>
                <w:i/>
                <w:sz w:val="16"/>
                <w:szCs w:val="16"/>
              </w:rPr>
            </w:pPr>
            <w:r>
              <w:rPr>
                <w:rFonts w:cs="Times New Roman" w:ascii="Times New Roman" w:hAnsi="Times New Roman"/>
                <w:bCs/>
                <w:i/>
                <w:sz w:val="16"/>
                <w:szCs w:val="16"/>
              </w:rPr>
              <w:t>1IHVU/V2M/DTV1/22</w:t>
            </w:r>
          </w:p>
        </w:tc>
        <w:tc>
          <w:tcPr>
            <w:tcW w:w="3262" w:type="dxa"/>
            <w:tcBorders>
              <w:top w:val="single" w:sz="4" w:space="0" w:color="000000"/>
              <w:left w:val="single" w:sz="4" w:space="0" w:color="000000"/>
              <w:bottom w:val="single" w:sz="4" w:space="0" w:color="000000"/>
              <w:right w:val="single" w:sz="4" w:space="0" w:color="000000"/>
            </w:tcBorders>
          </w:tcPr>
          <w:p>
            <w:pPr>
              <w:pStyle w:val="Footer"/>
              <w:widowControl w:val="false"/>
              <w:tabs>
                <w:tab w:val="clear" w:pos="4536"/>
                <w:tab w:val="clear" w:pos="9072"/>
              </w:tabs>
              <w:rPr>
                <w:bCs/>
                <w:i/>
                <w:i/>
                <w:sz w:val="16"/>
                <w:szCs w:val="16"/>
              </w:rPr>
            </w:pPr>
            <w:r>
              <w:rPr>
                <w:bCs/>
                <w:i/>
                <w:sz w:val="16"/>
                <w:szCs w:val="16"/>
              </w:rPr>
              <w:t>Dizajnérska tvorba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Mgr. art. Vladimír Ganaj, ArtD.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i/>
                <w:sz w:val="16"/>
                <w:szCs w:val="16"/>
              </w:rPr>
              <w:t>1IHVU/V2M/DTV2/22</w:t>
            </w:r>
          </w:p>
        </w:tc>
        <w:tc>
          <w:tcPr>
            <w:tcW w:w="3262" w:type="dxa"/>
            <w:tcBorders>
              <w:top w:val="single" w:sz="4" w:space="0" w:color="000000"/>
              <w:left w:val="single" w:sz="4" w:space="0" w:color="000000"/>
              <w:bottom w:val="single" w:sz="4" w:space="0" w:color="000000"/>
              <w:right w:val="single" w:sz="4" w:space="0" w:color="000000"/>
            </w:tcBorders>
          </w:tcPr>
          <w:p>
            <w:pPr>
              <w:pStyle w:val="Footer"/>
              <w:widowControl w:val="false"/>
              <w:tabs>
                <w:tab w:val="clear" w:pos="4536"/>
                <w:tab w:val="clear" w:pos="9072"/>
              </w:tabs>
              <w:rPr>
                <w:i/>
                <w:i/>
                <w:sz w:val="16"/>
                <w:szCs w:val="16"/>
              </w:rPr>
            </w:pPr>
            <w:r>
              <w:rPr>
                <w:i/>
                <w:sz w:val="16"/>
                <w:szCs w:val="16"/>
              </w:rPr>
              <w:t>Dizajnérska tvorba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S</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Mgr. art. Vladimír Ganaj, ArtD.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1IHVU/V2M/AUD/22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Analýza a interpretácia umeleckého diela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 xml:space="preserve">Mgr. </w:t>
            </w:r>
            <w:r>
              <w:rPr>
                <w:rFonts w:cs="Times New Roman" w:ascii="Times New Roman" w:hAnsi="Times New Roman"/>
                <w:i/>
                <w:sz w:val="16"/>
                <w:szCs w:val="18"/>
              </w:rPr>
              <w:t>Katar</w:t>
            </w:r>
            <w:r>
              <w:rPr>
                <w:rFonts w:eastAsia="Times New Roman" w:cs="Times New Roman" w:ascii="Times New Roman" w:hAnsi="Times New Roman"/>
                <w:i/>
                <w:color w:val="auto"/>
                <w:sz w:val="16"/>
                <w:szCs w:val="18"/>
                <w:lang w:val="sk-SK" w:bidi="ar-SA"/>
              </w:rPr>
              <w:t>ína Šantová</w:t>
            </w:r>
            <w:r>
              <w:rPr>
                <w:rFonts w:cs="Times New Roman" w:ascii="Times New Roman" w:hAnsi="Times New Roman"/>
                <w:i/>
                <w:sz w:val="16"/>
                <w:szCs w:val="18"/>
              </w:rPr>
              <w:t>, PhD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color w:val="000000"/>
                <w:sz w:val="16"/>
                <w:szCs w:val="16"/>
              </w:rPr>
            </w:pPr>
            <w:r>
              <w:rPr>
                <w:rFonts w:cs="Times New Roman" w:ascii="Times New Roman" w:hAnsi="Times New Roman"/>
                <w:i/>
                <w:color w:val="000000"/>
                <w:sz w:val="16"/>
                <w:szCs w:val="16"/>
              </w:rPr>
              <w:t>1IHVU/V2M/FV2/22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Fotografia a video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1IHVU/V2M/VP1/22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Výtvarné projektovanie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1IHVU/V2M/VP2/22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Výtvarné projektovanie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S</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bCs/>
                <w:i/>
                <w:sz w:val="16"/>
                <w:szCs w:val="16"/>
              </w:rPr>
              <w:t>1IHVU/V2M/DVV3/22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Didaktika v teórii a praxi 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6"/>
                <w:szCs w:val="18"/>
              </w:rPr>
              <w:t>Mgr. Ivana Židík, PhD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i/>
                <w:sz w:val="16"/>
                <w:szCs w:val="16"/>
              </w:rPr>
              <w:t>1IHVU/V2M/PGR</w:t>
            </w:r>
            <w:r>
              <w:rPr>
                <w:rFonts w:cs="Times New Roman" w:ascii="Times New Roman" w:hAnsi="Times New Roman"/>
                <w:i/>
                <w:color w:val="FF0000"/>
                <w:sz w:val="16"/>
                <w:szCs w:val="16"/>
              </w:rPr>
              <w:t>/22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Počítačová grafika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nie</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Mgr. art. Vladimír Ganaj, ArtD.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1IHVU/V2M/HTG2/22</w:t>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Hĺbkotlačová grafika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1P/1S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S</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Peter Kocák, akad. mal., PhD.</w:t>
            </w:r>
          </w:p>
        </w:tc>
      </w:tr>
      <w:tr>
        <w:trPr>
          <w:trHeight w:val="194" w:hRule="atLeast"/>
        </w:trPr>
        <w:tc>
          <w:tcPr>
            <w:tcW w:w="1808"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1IHVU/V2M/MF3/22</w:t>
              <w:tab/>
            </w:r>
          </w:p>
        </w:tc>
        <w:tc>
          <w:tcPr>
            <w:tcW w:w="326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Médium farby 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t>áno</w:t>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Martin Zbojan, akad. mal., PhD.</w:t>
            </w:r>
          </w:p>
        </w:tc>
      </w:tr>
    </w:tbl>
    <w:p>
      <w:pPr>
        <w:pStyle w:val="Standard"/>
        <w:rPr>
          <w:rFonts w:ascii="Times New Roman" w:hAnsi="Times New Roman" w:cs="Times New Roman"/>
          <w:i/>
          <w:i/>
        </w:rPr>
      </w:pPr>
      <w:r>
        <w:rPr>
          <w:rFonts w:cs="Times New Roman" w:ascii="Times New Roman" w:hAnsi="Times New Roman"/>
          <w:i/>
        </w:rPr>
      </w:r>
    </w:p>
    <w:tbl>
      <w:tblPr>
        <w:tblW w:w="14425" w:type="dxa"/>
        <w:jc w:val="left"/>
        <w:tblInd w:w="-108" w:type="dxa"/>
        <w:tblLayout w:type="fixed"/>
        <w:tblCellMar>
          <w:top w:w="0" w:type="dxa"/>
          <w:left w:w="108" w:type="dxa"/>
          <w:bottom w:w="0" w:type="dxa"/>
          <w:right w:w="108" w:type="dxa"/>
        </w:tblCellMar>
      </w:tblPr>
      <w:tblGrid>
        <w:gridCol w:w="1686"/>
        <w:gridCol w:w="3401"/>
        <w:gridCol w:w="833"/>
        <w:gridCol w:w="851"/>
        <w:gridCol w:w="1133"/>
        <w:gridCol w:w="993"/>
        <w:gridCol w:w="2126"/>
        <w:gridCol w:w="3402"/>
      </w:tblGrid>
      <w:tr>
        <w:trPr>
          <w:trHeight w:val="196" w:hRule="atLeast"/>
        </w:trPr>
        <w:tc>
          <w:tcPr>
            <w:tcW w:w="14425" w:type="dxa"/>
            <w:gridSpan w:val="8"/>
            <w:tcBorders>
              <w:top w:val="single" w:sz="4" w:space="0" w:color="000000"/>
              <w:left w:val="single" w:sz="12" w:space="0" w:color="000000"/>
              <w:bottom w:val="single" w:sz="4" w:space="0" w:color="000000"/>
              <w:right w:val="single" w:sz="12" w:space="0" w:color="000000"/>
            </w:tcBorders>
          </w:tcPr>
          <w:p>
            <w:pPr>
              <w:pStyle w:val="Standard"/>
              <w:widowControl w:val="false"/>
              <w:spacing w:before="0" w:after="0"/>
              <w:rPr/>
            </w:pPr>
            <w:r>
              <w:rPr>
                <w:rFonts w:cs="Times New Roman" w:ascii="Times New Roman" w:hAnsi="Times New Roman"/>
                <w:b/>
                <w:i/>
                <w:sz w:val="20"/>
                <w:szCs w:val="20"/>
              </w:rPr>
              <w:t xml:space="preserve">VOLITEĽNÉ PREDMETY </w:t>
            </w:r>
            <w:r>
              <w:rPr>
                <w:rFonts w:cs="Times New Roman" w:ascii="Times New Roman" w:hAnsi="Times New Roman"/>
                <w:b/>
                <w:i/>
                <w:sz w:val="16"/>
                <w:szCs w:val="16"/>
              </w:rPr>
              <w:t>získať maximálne 6 kreditov</w:t>
            </w:r>
          </w:p>
          <w:p>
            <w:pPr>
              <w:pStyle w:val="Standard"/>
              <w:widowControl w:val="false"/>
              <w:spacing w:before="0" w:after="0"/>
              <w:rPr/>
            </w:pPr>
            <w:r>
              <w:rPr>
                <w:rFonts w:cs="Times New Roman" w:ascii="Times New Roman" w:hAnsi="Times New Roman"/>
                <w:b/>
                <w:i/>
                <w:sz w:val="16"/>
                <w:szCs w:val="16"/>
              </w:rPr>
              <w:t>Z voliteľných predmetov si študent vyberá podľa vlastného uváženia a uvedených usmernení tak, aby dosiahol maximálne 6 kreditov</w:t>
            </w:r>
          </w:p>
        </w:tc>
      </w:tr>
      <w:tr>
        <w:trPr>
          <w:trHeight w:val="196" w:hRule="atLeast"/>
        </w:trPr>
        <w:tc>
          <w:tcPr>
            <w:tcW w:w="1686"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Kód predmetu</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Názov predmetu</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Kredity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Rozsah</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Hodnotenie</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Semester</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0" w:after="0"/>
              <w:rPr>
                <w:rFonts w:ascii="Times New Roman" w:hAnsi="Times New Roman" w:cs="Times New Roman"/>
                <w:b/>
                <w:b/>
                <w:i/>
                <w:i/>
                <w:sz w:val="18"/>
                <w:szCs w:val="18"/>
              </w:rPr>
            </w:pPr>
            <w:r>
              <w:rPr>
                <w:rFonts w:cs="Times New Roman" w:ascii="Times New Roman" w:hAnsi="Times New Roman"/>
                <w:b/>
                <w:i/>
                <w:sz w:val="18"/>
                <w:szCs w:val="18"/>
              </w:rPr>
            </w:r>
          </w:p>
        </w:tc>
        <w:tc>
          <w:tcPr>
            <w:tcW w:w="3402" w:type="dxa"/>
            <w:tcBorders>
              <w:top w:val="single" w:sz="4" w:space="0" w:color="000000"/>
              <w:left w:val="single" w:sz="4" w:space="0" w:color="000000"/>
              <w:bottom w:val="single" w:sz="4" w:space="0" w:color="000000"/>
              <w:right w:val="single" w:sz="12" w:space="0" w:color="000000"/>
            </w:tcBorders>
            <w:vAlign w:val="center"/>
          </w:tcPr>
          <w:p>
            <w:pPr>
              <w:pStyle w:val="Standard"/>
              <w:widowControl w:val="false"/>
              <w:spacing w:before="0" w:after="0"/>
              <w:rPr>
                <w:rFonts w:ascii="Times New Roman" w:hAnsi="Times New Roman" w:cs="Times New Roman"/>
                <w:b/>
                <w:b/>
                <w:i/>
                <w:i/>
                <w:sz w:val="18"/>
                <w:szCs w:val="18"/>
              </w:rPr>
            </w:pPr>
            <w:r>
              <w:rPr>
                <w:rFonts w:cs="Times New Roman" w:ascii="Times New Roman" w:hAnsi="Times New Roman"/>
                <w:b/>
                <w:i/>
                <w:sz w:val="18"/>
                <w:szCs w:val="18"/>
              </w:rPr>
              <w:t>Vyučujúci</w:t>
            </w:r>
          </w:p>
        </w:tc>
      </w:tr>
      <w:tr>
        <w:trPr>
          <w:trHeight w:val="194" w:hRule="atLeast"/>
        </w:trPr>
        <w:tc>
          <w:tcPr>
            <w:tcW w:w="1686"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1IHVU/V/KDUVS2/22</w:t>
            </w:r>
          </w:p>
        </w:tc>
        <w:tc>
          <w:tcPr>
            <w:tcW w:w="340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Kapitoly z dejín umenia východného Slovenska 2</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2P</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r>
          </w:p>
        </w:tc>
        <w:tc>
          <w:tcPr>
            <w:tcW w:w="3402" w:type="dxa"/>
            <w:tcBorders>
              <w:top w:val="single" w:sz="4" w:space="0" w:color="000000"/>
              <w:left w:val="single" w:sz="4" w:space="0" w:color="000000"/>
              <w:bottom w:val="single" w:sz="4" w:space="0" w:color="000000"/>
              <w:right w:val="single" w:sz="12" w:space="0" w:color="000000"/>
            </w:tcBorders>
            <w:vAlign w:val="center"/>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doc. Vladislav Grešlík, ArtD.</w:t>
            </w:r>
          </w:p>
        </w:tc>
      </w:tr>
      <w:tr>
        <w:trPr>
          <w:trHeight w:val="194" w:hRule="atLeast"/>
        </w:trPr>
        <w:tc>
          <w:tcPr>
            <w:tcW w:w="1686"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1IHVU/V2M/EA1/22</w:t>
            </w:r>
          </w:p>
        </w:tc>
        <w:tc>
          <w:tcPr>
            <w:tcW w:w="340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Experimentálny ateliér 1</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Mgr. art. Vladimír Ganaj, ArtD.</w:t>
            </w:r>
          </w:p>
        </w:tc>
      </w:tr>
      <w:tr>
        <w:trPr>
          <w:trHeight w:val="194" w:hRule="atLeast"/>
        </w:trPr>
        <w:tc>
          <w:tcPr>
            <w:tcW w:w="1686"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1IHVU/V2M/EA2/22</w:t>
            </w:r>
          </w:p>
        </w:tc>
        <w:tc>
          <w:tcPr>
            <w:tcW w:w="340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Times New Roman" w:hAnsi="Times New Roman" w:cs="Times New Roman"/>
                <w:i/>
                <w:i/>
                <w:sz w:val="16"/>
                <w:szCs w:val="16"/>
              </w:rPr>
            </w:pPr>
            <w:r>
              <w:rPr>
                <w:rFonts w:cs="Times New Roman" w:ascii="Times New Roman" w:hAnsi="Times New Roman"/>
                <w:i/>
                <w:sz w:val="16"/>
                <w:szCs w:val="16"/>
              </w:rPr>
              <w:t>Experimentálny ateliér 2</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2S</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r>
          </w:p>
        </w:tc>
        <w:tc>
          <w:tcPr>
            <w:tcW w:w="3402" w:type="dxa"/>
            <w:tcBorders>
              <w:top w:val="single" w:sz="4" w:space="0" w:color="000000"/>
              <w:left w:val="single" w:sz="4" w:space="0" w:color="000000"/>
              <w:bottom w:val="single" w:sz="4" w:space="0" w:color="000000"/>
              <w:right w:val="single" w:sz="12" w:space="0" w:color="000000"/>
            </w:tcBorders>
          </w:tcPr>
          <w:p>
            <w:pPr>
              <w:pStyle w:val="Standard"/>
              <w:widowControl w:val="false"/>
              <w:spacing w:lineRule="auto" w:line="240" w:before="0" w:after="0"/>
              <w:rPr>
                <w:rFonts w:ascii="Times New Roman" w:hAnsi="Times New Roman" w:cs="Times New Roman"/>
                <w:i/>
                <w:i/>
                <w:sz w:val="16"/>
              </w:rPr>
            </w:pPr>
            <w:r>
              <w:rPr>
                <w:rFonts w:cs="Times New Roman" w:ascii="Times New Roman" w:hAnsi="Times New Roman"/>
                <w:i/>
                <w:sz w:val="16"/>
              </w:rPr>
              <w:t>Mgr. art. Vladimír Ganaj, ArtD.</w:t>
            </w:r>
          </w:p>
        </w:tc>
      </w:tr>
      <w:tr>
        <w:trPr>
          <w:trHeight w:val="194" w:hRule="atLeast"/>
        </w:trPr>
        <w:tc>
          <w:tcPr>
            <w:tcW w:w="1686" w:type="dxa"/>
            <w:tcBorders>
              <w:top w:val="single" w:sz="4" w:space="0" w:color="000000"/>
              <w:left w:val="single" w:sz="12" w:space="0" w:color="000000"/>
              <w:bottom w:val="single" w:sz="4" w:space="0" w:color="000000"/>
              <w:right w:val="single" w:sz="4" w:space="0" w:color="000000"/>
            </w:tcBorders>
            <w:vAlign w:val="center"/>
          </w:tcPr>
          <w:p>
            <w:pPr>
              <w:pStyle w:val="Standard"/>
              <w:widowControl w:val="false"/>
              <w:spacing w:lineRule="auto" w:line="240" w:before="0" w:after="0"/>
              <w:rPr/>
            </w:pPr>
            <w:r>
              <w:rPr>
                <w:rFonts w:cs="Times New Roman" w:ascii="Times New Roman" w:hAnsi="Times New Roman"/>
                <w:i/>
                <w:sz w:val="16"/>
                <w:szCs w:val="16"/>
              </w:rPr>
              <w:t>1IHVU/V/ŠVUK</w:t>
            </w:r>
            <w:r>
              <w:rPr>
                <w:rFonts w:cs="Times New Roman" w:ascii="Times New Roman" w:hAnsi="Times New Roman"/>
                <w:i/>
                <w:color w:val="FF0000"/>
                <w:sz w:val="16"/>
                <w:szCs w:val="16"/>
              </w:rPr>
              <w:t>2</w:t>
            </w:r>
            <w:r>
              <w:rPr>
                <w:rFonts w:cs="Times New Roman" w:ascii="Times New Roman" w:hAnsi="Times New Roman"/>
                <w:i/>
                <w:sz w:val="16"/>
                <w:szCs w:val="16"/>
              </w:rPr>
              <w:t>/22</w:t>
            </w:r>
          </w:p>
        </w:tc>
        <w:tc>
          <w:tcPr>
            <w:tcW w:w="340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pPr>
            <w:r>
              <w:rPr>
                <w:rFonts w:cs="Times New Roman" w:ascii="Times New Roman" w:hAnsi="Times New Roman"/>
                <w:i/>
                <w:sz w:val="16"/>
                <w:szCs w:val="16"/>
              </w:rPr>
              <w:t xml:space="preserve">Študentská vedecká a umelecká konferencia </w:t>
            </w:r>
            <w:r>
              <w:rPr>
                <w:rFonts w:cs="Times New Roman" w:ascii="Times New Roman" w:hAnsi="Times New Roman"/>
                <w:i/>
                <w:color w:val="FF0000"/>
                <w:sz w:val="16"/>
                <w:szCs w:val="16"/>
              </w:rPr>
              <w:t>2</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PH</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Times New Roman" w:hAnsi="Times New Roman" w:cs="Times New Roman"/>
                <w:i/>
                <w:i/>
                <w:sz w:val="18"/>
                <w:szCs w:val="18"/>
              </w:rPr>
            </w:pPr>
            <w:r>
              <w:rPr>
                <w:rFonts w:cs="Times New Roman" w:ascii="Times New Roman" w:hAnsi="Times New Roman"/>
                <w:i/>
                <w:sz w:val="18"/>
                <w:szCs w:val="18"/>
              </w:rPr>
              <w:t>2., 4.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r>
          </w:p>
        </w:tc>
        <w:tc>
          <w:tcPr>
            <w:tcW w:w="3402" w:type="dxa"/>
            <w:tcBorders>
              <w:top w:val="single" w:sz="4" w:space="0" w:color="000000"/>
              <w:left w:val="single" w:sz="4" w:space="0" w:color="000000"/>
              <w:bottom w:val="single" w:sz="4" w:space="0" w:color="000000"/>
              <w:right w:val="single" w:sz="12" w:space="0" w:color="000000"/>
            </w:tcBorders>
            <w:vAlign w:val="center"/>
          </w:tcPr>
          <w:p>
            <w:pPr>
              <w:pStyle w:val="Standard"/>
              <w:widowControl w:val="false"/>
              <w:snapToGrid w:val="false"/>
              <w:spacing w:lineRule="auto" w:line="240" w:before="0" w:after="0"/>
              <w:rPr>
                <w:rFonts w:ascii="Times New Roman" w:hAnsi="Times New Roman" w:cs="Times New Roman"/>
                <w:i/>
                <w:i/>
                <w:sz w:val="18"/>
                <w:szCs w:val="18"/>
              </w:rPr>
            </w:pPr>
            <w:r>
              <w:rPr>
                <w:rFonts w:cs="Times New Roman" w:ascii="Times New Roman" w:hAnsi="Times New Roman"/>
                <w:i/>
                <w:sz w:val="18"/>
                <w:szCs w:val="18"/>
              </w:rPr>
            </w:r>
          </w:p>
        </w:tc>
      </w:tr>
    </w:tbl>
    <w:p>
      <w:pPr>
        <w:pStyle w:val="Standard"/>
        <w:rPr>
          <w:i/>
          <w:i/>
        </w:rPr>
      </w:pPr>
      <w:r>
        <w:rPr>
          <w:i/>
        </w:rPr>
      </w:r>
    </w:p>
    <w:p>
      <w:pPr>
        <w:pStyle w:val="Standard"/>
        <w:spacing w:lineRule="auto" w:line="268"/>
        <w:jc w:val="both"/>
        <w:rPr/>
      </w:pPr>
      <w:bookmarkStart w:id="2" w:name="_Hlk132447777"/>
      <w:r>
        <w:rPr>
          <w:rFonts w:cs="Calibri"/>
          <w:sz w:val="24"/>
          <w:szCs w:val="24"/>
        </w:rPr>
        <w:t xml:space="preserve">Študent získa 38 kreditov za povinné predmety, čo predstavuje 76 % za povinné predmety a 32 % zo </w:t>
      </w:r>
      <w:r>
        <w:rPr>
          <w:rStyle w:val="Tl3"/>
          <w:szCs w:val="24"/>
        </w:rPr>
        <w:t>120</w:t>
      </w:r>
      <w:r>
        <w:rPr>
          <w:rFonts w:cs="Calibri"/>
          <w:sz w:val="24"/>
          <w:szCs w:val="24"/>
        </w:rPr>
        <w:t xml:space="preserve"> kreditov, ktoré sú potrebné na úspešné ukončenie štúdia.</w:t>
      </w:r>
    </w:p>
    <w:p>
      <w:pPr>
        <w:pStyle w:val="Standard"/>
        <w:spacing w:lineRule="auto" w:line="268"/>
        <w:jc w:val="both"/>
        <w:rPr>
          <w:rFonts w:cs="Calibri"/>
          <w:sz w:val="24"/>
          <w:szCs w:val="24"/>
        </w:rPr>
      </w:pPr>
      <w:bookmarkStart w:id="3" w:name="_Hlk132447777"/>
      <w:r>
        <w:rPr>
          <w:rFonts w:cs="Calibri"/>
          <w:sz w:val="24"/>
          <w:szCs w:val="24"/>
        </w:rPr>
        <w:t>Odporúčaný študijný program ponúka možnosť zapísať si povinne voliteľné predmety z ponuky 20 kreditov a výberové predmety z ponuky 12 kreditov.</w:t>
      </w:r>
      <w:bookmarkEnd w:id="3"/>
    </w:p>
    <w:p>
      <w:pPr>
        <w:pStyle w:val="Standard"/>
        <w:rPr>
          <w:i/>
          <w:i/>
        </w:rPr>
      </w:pPr>
      <w:r>
        <w:rPr>
          <w:i/>
        </w:rPr>
      </w:r>
    </w:p>
    <w:p>
      <w:pPr>
        <w:pStyle w:val="Standard"/>
        <w:spacing w:lineRule="auto" w:line="240" w:before="0" w:after="0"/>
        <w:rPr>
          <w:rFonts w:ascii="Times New Roman" w:hAnsi="Times New Roman"/>
          <w:b/>
          <w:b/>
          <w:i/>
          <w:i/>
          <w:sz w:val="24"/>
          <w:szCs w:val="24"/>
        </w:rPr>
      </w:pPr>
      <w:r>
        <w:rPr>
          <w:i/>
        </w:rPr>
      </w:r>
    </w:p>
    <w:p>
      <w:pPr>
        <w:pStyle w:val="Normal"/>
        <w:spacing w:lineRule="auto" w:line="240" w:before="0" w:after="0"/>
        <w:rPr>
          <w:rFonts w:cs="Calibri" w:cstheme="minorHAnsi"/>
          <w:i/>
          <w:i/>
          <w:iCs/>
          <w:sz w:val="16"/>
          <w:szCs w:val="16"/>
        </w:rPr>
      </w:pPr>
      <w:r>
        <w:rPr>
          <w:rFonts w:cs="Calibri" w:cstheme="minorHAnsi"/>
          <w:i/>
          <w:iCs/>
          <w:sz w:val="16"/>
          <w:szCs w:val="16"/>
        </w:rPr>
      </w:r>
      <w:r>
        <w:br w:type="page"/>
      </w:r>
    </w:p>
    <w:p>
      <w:pPr>
        <w:pStyle w:val="Normal"/>
        <w:spacing w:lineRule="auto" w:line="240" w:before="0" w:after="0"/>
        <w:jc w:val="both"/>
        <w:rPr>
          <w:rFonts w:cs="Calibri" w:cstheme="minorHAnsi"/>
          <w:i/>
          <w:i/>
          <w:iCs/>
          <w:sz w:val="16"/>
          <w:szCs w:val="16"/>
        </w:rPr>
      </w:pPr>
      <w:r>
        <w:rPr>
          <w:rFonts w:cs="Calibri" w:cstheme="minorHAnsi"/>
          <w:i/>
          <w:iCs/>
          <w:sz w:val="16"/>
          <w:szCs w:val="16"/>
        </w:rPr>
      </w:r>
    </w:p>
    <w:p>
      <w:pPr>
        <w:pStyle w:val="ListParagraph"/>
        <w:numPr>
          <w:ilvl w:val="0"/>
          <w:numId w:val="3"/>
        </w:numPr>
        <w:spacing w:lineRule="auto" w:line="240" w:before="0" w:after="0"/>
        <w:contextualSpacing/>
        <w:jc w:val="both"/>
        <w:rPr>
          <w:rFonts w:cs="Calibri" w:cstheme="minorHAnsi"/>
          <w:color w:val="0D0D0D" w:themeColor="text1" w:themeTint="f2"/>
          <w:sz w:val="16"/>
          <w:szCs w:val="16"/>
        </w:rPr>
      </w:pPr>
      <w:r>
        <w:rPr>
          <w:rFonts w:cs="Calibri" w:cstheme="minorHAnsi"/>
          <w:i/>
          <w:iCs/>
          <w:color w:val="0D0D0D" w:themeColor="text1" w:themeTint="f2"/>
          <w:sz w:val="16"/>
          <w:szCs w:val="16"/>
        </w:rPr>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Študent je povinný v študijnom programe získať potrebný počet kreditov, ktorých rozloženie a celkový počet je určený akreditovaným študijným programom. Štandardná záťaž študenta za celý akademický rok je vyjadrená počtom 60 kreditov, za semester 30 kreditov. Počet kreditov, ktorých dosiahnutie je podmienkou riadneho skončenia štúdia, pre študijný program druhého stupňa so štandardnou dĺžkou štúdia je najmenej 120 kreditov. Štúdium podľa študijného poriadku nesmie presiahnuť jeho štandardnú dĺžku o viac ako dva roky.</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Všetky informácie požadované v bode d) uvádzajú články 10 až 22 Študijného poriadku PU v Prešove z r. 2018.</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Odkaz: https://www.unipo.sk/public/media/0190/STUD%2024.9.18%20pdf.pdf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Za obsah študijného programu zodpovedá garant príslušného študijného programu. Študijný program, vrátane obsahu, je posudzovaný Radou pre kvalitu FF PU, jeho finálna verzia aj Radou pre vnútorný systém kvality PU v Prešove. V súlade s odporúčaným študijným programom študent získa 40 kreditov za povinné predmety za aprobáciu. Skladba predmetov študijných programov na PU je spravidla </w:t>
      </w:r>
      <w:bookmarkStart w:id="4" w:name="_Hlk92129858"/>
      <w:r>
        <w:rPr>
          <w:i/>
          <w:iCs/>
          <w:color w:val="000000" w:themeColor="text1"/>
          <w:sz w:val="16"/>
          <w:szCs w:val="16"/>
        </w:rPr>
        <w:t>70-80% povinné, 10-15%</w:t>
      </w:r>
      <w:bookmarkEnd w:id="4"/>
      <w:r>
        <w:rPr>
          <w:i/>
          <w:iCs/>
          <w:color w:val="000000" w:themeColor="text1"/>
          <w:sz w:val="16"/>
          <w:szCs w:val="16"/>
        </w:rPr>
        <w:t xml:space="preserve"> povinne voliteľné a max. 5% výberové predmety.</w:t>
      </w:r>
    </w:p>
    <w:p>
      <w:pPr>
        <w:pStyle w:val="ListParagraph"/>
        <w:spacing w:lineRule="auto" w:line="240" w:before="0" w:after="0"/>
        <w:ind w:left="360" w:hanging="0"/>
        <w:contextualSpacing/>
        <w:jc w:val="both"/>
        <w:rPr>
          <w:rFonts w:cs="Calibri" w:cstheme="minorHAnsi"/>
          <w:color w:val="0D0D0D" w:themeColor="text1" w:themeTint="f2"/>
          <w:sz w:val="16"/>
          <w:szCs w:val="16"/>
        </w:rPr>
      </w:pPr>
      <w:r>
        <w:rPr>
          <w:rFonts w:cs="Calibri" w:cstheme="minorHAnsi"/>
          <w:color w:val="0D0D0D" w:themeColor="text1" w:themeTint="f2"/>
          <w:sz w:val="16"/>
          <w:szCs w:val="16"/>
        </w:rPr>
      </w:r>
    </w:p>
    <w:p>
      <w:pPr>
        <w:pStyle w:val="ListParagraph"/>
        <w:numPr>
          <w:ilvl w:val="0"/>
          <w:numId w:val="3"/>
        </w:numPr>
        <w:spacing w:lineRule="auto" w:line="240" w:before="0" w:after="0"/>
        <w:contextualSpacing/>
        <w:jc w:val="both"/>
        <w:rPr>
          <w:rFonts w:cs="Calibri" w:cstheme="minorHAnsi"/>
          <w:sz w:val="16"/>
          <w:szCs w:val="16"/>
        </w:rPr>
      </w:pPr>
      <w:r>
        <w:rPr>
          <w:rFonts w:cs="Calibri" w:cstheme="minorHAnsi"/>
          <w:i/>
          <w:iCs/>
          <w:sz w:val="16"/>
          <w:szCs w:val="16"/>
        </w:rPr>
        <w:t xml:space="preserve">Vysoká škola pre jednotlivé študijné plány uvedie podmienky absolvovania jednotlivých častí študijného programu a postup študenta v študijnom programe v štruktúre: </w:t>
      </w:r>
    </w:p>
    <w:p>
      <w:pPr>
        <w:pStyle w:val="ListParagraph"/>
        <w:spacing w:lineRule="auto" w:line="240" w:before="0" w:after="0"/>
        <w:ind w:left="360" w:hanging="0"/>
        <w:contextualSpacing/>
        <w:jc w:val="both"/>
        <w:rPr>
          <w:rFonts w:cs="Calibri" w:cstheme="minorHAnsi"/>
          <w:sz w:val="16"/>
          <w:szCs w:val="16"/>
        </w:rPr>
      </w:pPr>
      <w:r>
        <w:rPr>
          <w:rFonts w:cs="Calibri" w:cstheme="minorHAnsi"/>
          <w:i/>
          <w:iCs/>
          <w:sz w:val="16"/>
          <w:szCs w:val="16"/>
        </w:rPr>
        <w:t xml:space="preserve">          </w:t>
      </w:r>
    </w:p>
    <w:p>
      <w:pPr>
        <w:pStyle w:val="ListParagraph"/>
        <w:numPr>
          <w:ilvl w:val="0"/>
          <w:numId w:val="19"/>
        </w:numPr>
        <w:spacing w:lineRule="auto" w:line="240" w:before="0" w:after="0"/>
        <w:contextualSpacing/>
        <w:jc w:val="both"/>
        <w:rPr>
          <w:rFonts w:cs="Calibri" w:cstheme="minorHAnsi"/>
          <w:bCs/>
          <w:i/>
          <w:i/>
          <w:iCs/>
          <w:color w:val="000000" w:themeColor="text1"/>
          <w:sz w:val="16"/>
          <w:szCs w:val="16"/>
        </w:rPr>
      </w:pPr>
      <w:r>
        <w:rPr>
          <w:rFonts w:cs="Calibri" w:cstheme="minorHAnsi"/>
          <w:bCs/>
          <w:i/>
          <w:iCs/>
          <w:color w:val="000000" w:themeColor="text1"/>
          <w:sz w:val="16"/>
          <w:szCs w:val="16"/>
        </w:rPr>
        <w:t xml:space="preserve">počet kreditov za povinné predmety potrebných na riadne skončenie štúdia/ ukončenie časti štúdia: </w:t>
      </w:r>
      <w:r>
        <w:rPr>
          <w:rFonts w:cs="Calibri" w:cstheme="minorHAnsi"/>
          <w:bCs/>
          <w:i/>
          <w:iCs/>
          <w:color w:val="000000" w:themeColor="text1"/>
          <w:sz w:val="16"/>
          <w:szCs w:val="16"/>
          <w:highlight w:val="yellow"/>
        </w:rPr>
        <w:t>38</w:t>
      </w:r>
    </w:p>
    <w:p>
      <w:pPr>
        <w:pStyle w:val="ListParagraph"/>
        <w:numPr>
          <w:ilvl w:val="0"/>
          <w:numId w:val="19"/>
        </w:numPr>
        <w:spacing w:lineRule="auto" w:line="240" w:before="0" w:after="0"/>
        <w:contextualSpacing/>
        <w:jc w:val="both"/>
        <w:rPr>
          <w:rFonts w:cs="Calibri" w:cstheme="minorHAnsi"/>
          <w:bCs/>
          <w:i/>
          <w:i/>
          <w:iCs/>
          <w:color w:val="000000" w:themeColor="text1"/>
          <w:sz w:val="16"/>
          <w:szCs w:val="16"/>
        </w:rPr>
      </w:pPr>
      <w:r>
        <w:rPr>
          <w:rFonts w:cs="Calibri" w:cstheme="minorHAnsi"/>
          <w:bCs/>
          <w:i/>
          <w:iCs/>
          <w:color w:val="000000" w:themeColor="text1"/>
          <w:sz w:val="16"/>
          <w:szCs w:val="16"/>
        </w:rPr>
        <w:t xml:space="preserve">počet kreditov za povinne voliteľné predmety potrebných na riadne skončenie štúdia/ ukončenie časti štúdia: </w:t>
      </w:r>
      <w:r>
        <w:rPr>
          <w:rFonts w:cs="Calibri" w:cstheme="minorHAnsi"/>
          <w:bCs/>
          <w:i/>
          <w:iCs/>
          <w:color w:val="000000" w:themeColor="text1"/>
          <w:sz w:val="16"/>
          <w:szCs w:val="16"/>
          <w:highlight w:val="yellow"/>
        </w:rPr>
        <w:t>min. 6 z výberu predmetov z 20 kreditov</w:t>
      </w:r>
    </w:p>
    <w:p>
      <w:pPr>
        <w:pStyle w:val="ListParagraph"/>
        <w:numPr>
          <w:ilvl w:val="0"/>
          <w:numId w:val="19"/>
        </w:numPr>
        <w:spacing w:lineRule="auto" w:line="240" w:before="0" w:after="0"/>
        <w:contextualSpacing/>
        <w:jc w:val="both"/>
        <w:rPr>
          <w:rFonts w:cs="Calibri" w:cstheme="minorHAnsi"/>
          <w:bCs/>
          <w:i/>
          <w:i/>
          <w:iCs/>
          <w:color w:val="000000" w:themeColor="text1"/>
          <w:sz w:val="16"/>
          <w:szCs w:val="16"/>
        </w:rPr>
      </w:pPr>
      <w:r>
        <w:rPr>
          <w:rFonts w:cs="Calibri" w:cstheme="minorHAnsi"/>
          <w:bCs/>
          <w:i/>
          <w:iCs/>
          <w:color w:val="000000" w:themeColor="text1"/>
          <w:sz w:val="16"/>
          <w:szCs w:val="16"/>
        </w:rPr>
        <w:t>počet kreditov za výberové predmety potrebných na riadne skončenie štúdia/ ukončenie časti štúdia: max. 6</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V zmysle Študijného poriadku PU (čl. 13) si  študent si zapisuje výberové predmety tak, aby súčet ich kreditovej dotácie tvoril maximálne 5 % z celkového počtu kreditov (v druhom stupni štúdia max. 6 kreditov), ktorých dosiahnutie je podmienkou riadneho skončenia štúdia. Výberové predmety absolvované, resp. uznané nad počet 5% sa do počtu kreditov potrebných pre riadne skončenie štúdia nezarátajú. Všetky absolvované predmety sa uvádzajú v dodatku k diplomu.</w:t>
      </w:r>
    </w:p>
    <w:p>
      <w:pPr>
        <w:pStyle w:val="ListParagraph"/>
        <w:numPr>
          <w:ilvl w:val="0"/>
          <w:numId w:val="19"/>
        </w:numPr>
        <w:spacing w:lineRule="auto" w:line="240" w:before="0" w:after="0"/>
        <w:contextualSpacing/>
        <w:jc w:val="both"/>
        <w:rPr>
          <w:rFonts w:cs="Calibri" w:cstheme="minorHAnsi"/>
          <w:bCs/>
          <w:i/>
          <w:i/>
          <w:iCs/>
          <w:color w:val="000000" w:themeColor="text1"/>
          <w:sz w:val="16"/>
          <w:szCs w:val="16"/>
        </w:rPr>
      </w:pPr>
      <w:r>
        <w:rPr>
          <w:rFonts w:cs="Calibri" w:cstheme="minorHAnsi"/>
          <w:bCs/>
          <w:i/>
          <w:iCs/>
          <w:color w:val="000000" w:themeColor="text1"/>
          <w:sz w:val="16"/>
          <w:szCs w:val="16"/>
        </w:rPr>
        <w:t>počet kreditov potrebných na skončenie štúdia/ukončenie časti štúdia za spoločný základ a za príslušnú aprobáciu, ak ide o učiteľský kombinačný študijný program, alebo prekladateľský kombinačný študijný program: 70</w:t>
      </w:r>
    </w:p>
    <w:p>
      <w:pPr>
        <w:pStyle w:val="ListParagraph"/>
        <w:numPr>
          <w:ilvl w:val="0"/>
          <w:numId w:val="19"/>
        </w:numPr>
        <w:spacing w:lineRule="auto" w:line="240" w:before="0" w:after="0"/>
        <w:contextualSpacing/>
        <w:jc w:val="both"/>
        <w:rPr>
          <w:rFonts w:cs="Calibri" w:cstheme="minorHAnsi"/>
          <w:bCs/>
          <w:i/>
          <w:i/>
          <w:iCs/>
          <w:color w:val="000000" w:themeColor="text1"/>
          <w:sz w:val="16"/>
          <w:szCs w:val="16"/>
        </w:rPr>
      </w:pPr>
      <w:r>
        <w:rPr>
          <w:rFonts w:cs="Calibri" w:cstheme="minorHAnsi"/>
          <w:bCs/>
          <w:i/>
          <w:iCs/>
          <w:color w:val="000000" w:themeColor="text1"/>
          <w:sz w:val="16"/>
          <w:szCs w:val="16"/>
        </w:rPr>
        <w:t>počet kreditov za záverečnú prácu a obhajobu záverečnej práce potrebných na riadne skončenie štúdia: 14/120</w:t>
      </w:r>
    </w:p>
    <w:p>
      <w:pPr>
        <w:pStyle w:val="ListParagraph"/>
        <w:numPr>
          <w:ilvl w:val="0"/>
          <w:numId w:val="19"/>
        </w:numPr>
        <w:spacing w:lineRule="auto" w:line="240" w:before="0" w:after="0"/>
        <w:contextualSpacing/>
        <w:jc w:val="both"/>
        <w:rPr>
          <w:rFonts w:cs="Calibri" w:cstheme="minorHAnsi"/>
          <w:i/>
          <w:i/>
          <w:iCs/>
          <w:color w:val="000000" w:themeColor="text1"/>
          <w:sz w:val="14"/>
          <w:szCs w:val="14"/>
        </w:rPr>
      </w:pPr>
      <w:r>
        <w:rPr>
          <w:rFonts w:cs="Calibri" w:cstheme="minorHAnsi"/>
          <w:bCs/>
          <w:i/>
          <w:iCs/>
          <w:color w:val="000000" w:themeColor="text1"/>
          <w:sz w:val="16"/>
          <w:szCs w:val="16"/>
        </w:rPr>
        <w:t>počet kreditov za odbornú prax potrebných na riadne skončenie štúdia/ukončenie časti štúdia: 7 kreditov za aprobáciu/14 za dve aprobácie/120</w:t>
      </w:r>
    </w:p>
    <w:p>
      <w:pPr>
        <w:pStyle w:val="ListParagraph"/>
        <w:numPr>
          <w:ilvl w:val="0"/>
          <w:numId w:val="19"/>
        </w:numPr>
        <w:spacing w:lineRule="auto" w:line="240" w:before="0" w:after="0"/>
        <w:contextualSpacing/>
        <w:jc w:val="both"/>
        <w:rPr>
          <w:rFonts w:cs="Calibri" w:cstheme="minorHAnsi"/>
          <w:bCs/>
          <w:i/>
          <w:i/>
          <w:iCs/>
          <w:color w:val="000000" w:themeColor="text1"/>
          <w:sz w:val="16"/>
          <w:szCs w:val="16"/>
        </w:rPr>
      </w:pPr>
      <w:r>
        <w:rPr>
          <w:rFonts w:cs="Calibri" w:cstheme="minorHAnsi"/>
          <w:bCs/>
          <w:i/>
          <w:iCs/>
          <w:color w:val="000000" w:themeColor="text1"/>
          <w:sz w:val="16"/>
          <w:szCs w:val="16"/>
        </w:rPr>
        <w:t>počet kreditov potrebných na riadne skončenie štúdia/ ukončenie časti štúdia za projektovú prácu s uvedením príslušných predmetov v inžinierskych študijných programoch</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Nejedná sa o inžiniersky študijný program.</w:t>
      </w:r>
    </w:p>
    <w:p>
      <w:pPr>
        <w:pStyle w:val="ListParagraph"/>
        <w:numPr>
          <w:ilvl w:val="0"/>
          <w:numId w:val="19"/>
        </w:numPr>
        <w:spacing w:lineRule="auto" w:line="240" w:before="0" w:after="0"/>
        <w:contextualSpacing/>
        <w:jc w:val="both"/>
        <w:rPr>
          <w:i/>
          <w:i/>
          <w:iCs/>
          <w:color w:val="000000" w:themeColor="text1"/>
          <w:sz w:val="14"/>
          <w:szCs w:val="14"/>
        </w:rPr>
      </w:pPr>
      <w:r>
        <w:rPr>
          <w:i/>
          <w:iCs/>
          <w:color w:val="000000" w:themeColor="text1"/>
          <w:sz w:val="16"/>
          <w:szCs w:val="16"/>
        </w:rPr>
        <w:t xml:space="preserve">počet kreditov potrebných na riadne skončenie štúdia/ ukončenie časti štúdia za umelecké výkony okrem záverečnej práce v umeleckých študijných programoch.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Nejedná sa o umelecký študijný program.</w:t>
      </w:r>
    </w:p>
    <w:p>
      <w:pPr>
        <w:pStyle w:val="ListParagraph"/>
        <w:numPr>
          <w:ilvl w:val="0"/>
          <w:numId w:val="3"/>
        </w:numPr>
        <w:spacing w:lineRule="auto" w:line="240" w:before="0" w:after="0"/>
        <w:contextualSpacing/>
        <w:jc w:val="both"/>
        <w:rPr>
          <w:rFonts w:cs="Calibri" w:cstheme="minorHAnsi"/>
          <w:i/>
          <w:i/>
          <w:iCs/>
          <w:sz w:val="16"/>
          <w:szCs w:val="16"/>
        </w:rPr>
      </w:pPr>
      <w:r>
        <w:rPr>
          <w:rFonts w:cs="Calibri" w:cstheme="minorHAnsi"/>
          <w:i/>
          <w:iCs/>
          <w:sz w:val="16"/>
          <w:szCs w:val="16"/>
        </w:rPr>
        <w:t xml:space="preserve">Vysoká škola popíše pravidlá pre overovanie výstupov vzdelávania a hodnotenie študentov a možnosti opravných postupov voči tomuto hodnoteniu.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Overovanie výstupov vzdelávania a hodnotenie študentov sa realizuje v zmysle Študijného poriadku PU (čl. 16), v ktorom sa uvádza: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w:t>
      </w:r>
      <w:r>
        <w:rPr>
          <w:i/>
          <w:iCs/>
          <w:color w:val="000000" w:themeColor="text1"/>
          <w:sz w:val="16"/>
          <w:szCs w:val="16"/>
        </w:rPr>
        <w:t xml:space="preserve">Hodnotenie študijných výsledkov študenta v rámci študijného predmetu sa uskutočňuje: (a) priebežným hodnotením (ph s klasifikáciou); (b) skúškou za dané obdobie štúdia (s klasifikáciou); (c) absolvovaním – absolvoval (abs.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pPr>
        <w:pStyle w:val="ListParagraph"/>
        <w:numPr>
          <w:ilvl w:val="0"/>
          <w:numId w:val="20"/>
        </w:numPr>
        <w:spacing w:lineRule="auto" w:line="259" w:before="0" w:after="160"/>
        <w:contextualSpacing/>
        <w:rPr>
          <w:rFonts w:eastAsia="" w:eastAsiaTheme="minorEastAsia"/>
          <w:color w:val="000000" w:themeColor="text1"/>
          <w:sz w:val="16"/>
          <w:szCs w:val="16"/>
        </w:rPr>
      </w:pPr>
      <w:r>
        <w:rPr>
          <w:rFonts w:eastAsia="Calibri" w:cs="Calibri"/>
          <w:color w:val="000000" w:themeColor="text1"/>
          <w:sz w:val="16"/>
          <w:szCs w:val="16"/>
        </w:rPr>
        <w:t xml:space="preserve">Čl. 15 až 22 Študijného poriadku PU v Prešove z r. 2018. Odkaz: </w:t>
      </w:r>
      <w:hyperlink r:id="rId9">
        <w:r>
          <w:rPr>
            <w:rStyle w:val="InternetLink"/>
            <w:rFonts w:eastAsia="Calibri" w:cs="Calibri"/>
            <w:color w:val="000000" w:themeColor="text1"/>
            <w:sz w:val="16"/>
            <w:szCs w:val="16"/>
          </w:rPr>
          <w:t>https://www.unipo.sk/public/media/0190/STUD%2024.9.18%20pdf.pdf</w:t>
        </w:r>
      </w:hyperlink>
      <w:r>
        <w:rPr>
          <w:rFonts w:eastAsia="Calibri" w:cs="Calibri"/>
          <w:color w:val="000000" w:themeColor="text1"/>
          <w:sz w:val="16"/>
          <w:szCs w:val="16"/>
        </w:rPr>
        <w:t xml:space="preserve"> </w:t>
      </w:r>
    </w:p>
    <w:p>
      <w:pPr>
        <w:pStyle w:val="ListParagraph"/>
        <w:numPr>
          <w:ilvl w:val="0"/>
          <w:numId w:val="20"/>
        </w:numPr>
        <w:spacing w:lineRule="auto" w:line="259" w:before="0" w:after="160"/>
        <w:contextualSpacing/>
        <w:rPr>
          <w:rFonts w:eastAsia="" w:eastAsiaTheme="minorEastAsia"/>
          <w:color w:val="000000" w:themeColor="text1"/>
          <w:sz w:val="16"/>
          <w:szCs w:val="16"/>
        </w:rPr>
      </w:pPr>
      <w:r>
        <w:rPr>
          <w:rFonts w:eastAsia="Calibri" w:cs="Calibri"/>
          <w:color w:val="000000" w:themeColor="text1"/>
          <w:sz w:val="16"/>
          <w:szCs w:val="16"/>
        </w:rPr>
        <w:t xml:space="preserve">Disciplinárny poriadok PU v Prešove - </w:t>
      </w:r>
      <w:hyperlink r:id="rId10">
        <w:r>
          <w:rPr>
            <w:rStyle w:val="InternetLink"/>
            <w:rFonts w:eastAsia="Calibri" w:cs="Calibri"/>
            <w:color w:val="000000" w:themeColor="text1"/>
            <w:sz w:val="16"/>
            <w:szCs w:val="16"/>
          </w:rPr>
          <w:t>https://www.unipo.sk/public/media/files/docs/u/svk/disciplinarny_poriadok_08.pdf</w:t>
        </w:r>
      </w:hyperlink>
      <w:r>
        <w:rPr>
          <w:rFonts w:eastAsia="Calibri" w:cs="Calibri"/>
          <w:color w:val="000000" w:themeColor="text1"/>
          <w:sz w:val="16"/>
          <w:szCs w:val="16"/>
        </w:rPr>
        <w:t xml:space="preserve"> </w:t>
      </w:r>
    </w:p>
    <w:p>
      <w:pPr>
        <w:pStyle w:val="ListParagraph"/>
        <w:spacing w:lineRule="auto" w:line="240" w:before="0" w:after="0"/>
        <w:ind w:left="360" w:hanging="0"/>
        <w:contextualSpacing/>
        <w:jc w:val="both"/>
        <w:rPr>
          <w:rFonts w:cs="Calibri" w:cstheme="minorHAnsi"/>
          <w:i/>
          <w:i/>
          <w:iCs/>
          <w:sz w:val="16"/>
          <w:szCs w:val="16"/>
        </w:rPr>
      </w:pPr>
      <w:r>
        <w:rPr>
          <w:rFonts w:cs="Calibri" w:cstheme="minorHAnsi"/>
          <w:i/>
          <w:iCs/>
          <w:sz w:val="16"/>
          <w:szCs w:val="16"/>
        </w:rPr>
      </w:r>
    </w:p>
    <w:p>
      <w:pPr>
        <w:pStyle w:val="ListParagraph"/>
        <w:numPr>
          <w:ilvl w:val="0"/>
          <w:numId w:val="3"/>
        </w:numPr>
        <w:spacing w:lineRule="auto" w:line="240" w:before="0" w:after="0"/>
        <w:contextualSpacing/>
        <w:jc w:val="both"/>
        <w:rPr>
          <w:rFonts w:cs="Calibri" w:cstheme="minorHAnsi"/>
          <w:i/>
          <w:i/>
          <w:iCs/>
          <w:sz w:val="16"/>
          <w:szCs w:val="16"/>
        </w:rPr>
      </w:pPr>
      <w:r>
        <w:rPr>
          <w:rFonts w:cs="Calibri" w:cstheme="minorHAnsi"/>
          <w:i/>
          <w:iCs/>
          <w:sz w:val="16"/>
          <w:szCs w:val="16"/>
        </w:rPr>
        <w:t xml:space="preserve">Podmienky uznávania štúdia, alebo časti štúdia. </w:t>
      </w:r>
    </w:p>
    <w:p>
      <w:pPr>
        <w:pStyle w:val="Normal"/>
        <w:spacing w:lineRule="auto" w:line="240" w:before="0" w:after="0"/>
        <w:ind w:left="709" w:hanging="0"/>
        <w:jc w:val="both"/>
        <w:rPr>
          <w:i/>
          <w:i/>
          <w:iCs/>
          <w:color w:val="000000" w:themeColor="text1"/>
          <w:sz w:val="16"/>
          <w:szCs w:val="16"/>
        </w:rPr>
      </w:pPr>
      <w:r>
        <w:rPr>
          <w:rFonts w:cs="Calibri" w:cstheme="minorHAnsi"/>
          <w:i/>
          <w:iCs/>
          <w:sz w:val="16"/>
          <w:szCs w:val="16"/>
        </w:rPr>
        <w:t xml:space="preserve"> </w:t>
      </w:r>
      <w:r>
        <w:rPr>
          <w:i/>
          <w:iCs/>
          <w:color w:val="000000" w:themeColor="text1"/>
          <w:sz w:val="16"/>
          <w:szCs w:val="16"/>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Pravidlá uznávania predmetov a kreditov špecifikuje Študijný poriadok PU v Prešove (čl. 20):</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Študent môže požiadať o uznanie predmetov a kreditov absolvovaných v inom alebo identickom študijnom programe najneskôr do siedmich dní po zápise v príslušnom akademickom roku.</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Študent môže požiadať len o uznanie toho predmetu, ktorý už úspešne absolvoval v predchádzajúcich akademických rokoch a získal zaň príslušný počet kreditov, a v prípade, ak od jeho absolvovania neuplynulo viac ako päť rokov.</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Žiadosť o uznanie predmetu a priznanie kreditov za príslušný predmet predkladá študent na Oddelení pre vzdelávanie.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K žiadosti o uznanie predmetu a priznanie kreditov za príslušný predmet je študent povinný priložiť doklad o vykonaní skúšky (výpis) a informačný list, príp. sylaby príslušného predmetu.</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Rozhodnutiu dekana predchádza posúdenie informačného listu garantom študijného programu pre vzdelávanie.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Uznať predmet a priznať kredity za predmet, ktorý študent absolvoval v predchádzajúcom období štúdiom v študijnom programe, ktorý riadne skončil, t.j. bol mu priznaný príslušný akademický titul, nie je možné.</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Počet kreditov možno uznať v rozsahu počtu kreditov stanovených aktuálnym študijným programom. Uvedené pravidlo uznávania počtu kreditov platí pre všetky predmety (povinné, povinne voliteľné a výberové).</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Uznanie predmetov štátnej skúšky nie je možné.</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pPr>
        <w:pStyle w:val="Normal"/>
        <w:spacing w:lineRule="auto" w:line="240" w:before="0" w:after="0"/>
        <w:jc w:val="both"/>
        <w:rPr>
          <w:i/>
          <w:i/>
          <w:iCs/>
          <w:color w:val="000000" w:themeColor="text1"/>
          <w:sz w:val="16"/>
          <w:szCs w:val="16"/>
        </w:rPr>
      </w:pPr>
      <w:r>
        <w:rPr>
          <w:i/>
          <w:iCs/>
          <w:color w:val="000000" w:themeColor="text1"/>
          <w:sz w:val="16"/>
          <w:szCs w:val="16"/>
        </w:rPr>
      </w:r>
    </w:p>
    <w:p>
      <w:pPr>
        <w:pStyle w:val="Normal"/>
        <w:ind w:left="709" w:hanging="0"/>
        <w:jc w:val="both"/>
        <w:rPr>
          <w:rFonts w:eastAsia="Calibri" w:cs="Calibri"/>
          <w:i/>
          <w:i/>
          <w:iCs/>
          <w:color w:val="000000" w:themeColor="text1"/>
          <w:sz w:val="16"/>
          <w:szCs w:val="16"/>
        </w:rPr>
      </w:pPr>
      <w:r>
        <w:rPr>
          <w:rFonts w:eastAsia="Calibri" w:cs="Calibri"/>
          <w:i/>
          <w:iCs/>
          <w:color w:val="000000" w:themeColor="text1"/>
          <w:sz w:val="16"/>
          <w:szCs w:val="16"/>
        </w:rPr>
        <w:t xml:space="preserve">Podmienky, za ktorých sú uznávané predmety štúdia, resp. kredity uvádza Čl.20 ŠP. Žiadosť o uznanie predmetu a priznanie kreditov za príslušný predmet predkladá študent na študijnom oddelení kmeňovej fakulty alebo univerzity (viď. Študijný poriadok PU: </w:t>
      </w:r>
      <w:hyperlink r:id="rId11">
        <w:r>
          <w:rPr>
            <w:rStyle w:val="InternetLink"/>
            <w:rFonts w:eastAsia="Calibri" w:cs="Calibri"/>
            <w:i/>
            <w:iCs/>
            <w:color w:val="000000" w:themeColor="text1"/>
            <w:sz w:val="16"/>
            <w:szCs w:val="16"/>
          </w:rPr>
          <w:t>https://www.unipo.sk/public/media/0190/STUD%2024.9.18%20pdf.pdf</w:t>
        </w:r>
      </w:hyperlink>
      <w:r>
        <w:rPr>
          <w:rStyle w:val="InternetLink"/>
          <w:rFonts w:eastAsia="Calibri" w:cs="Calibri"/>
          <w:i/>
          <w:iCs/>
          <w:color w:val="000000" w:themeColor="text1"/>
          <w:sz w:val="16"/>
          <w:szCs w:val="16"/>
        </w:rPr>
        <w:t>)</w:t>
      </w:r>
    </w:p>
    <w:p>
      <w:pPr>
        <w:pStyle w:val="ListParagraph"/>
        <w:spacing w:lineRule="auto" w:line="240" w:before="0" w:after="0"/>
        <w:ind w:left="360" w:hanging="0"/>
        <w:contextualSpacing/>
        <w:jc w:val="both"/>
        <w:rPr>
          <w:rFonts w:cs="Calibri" w:cstheme="minorHAnsi"/>
          <w:i/>
          <w:i/>
          <w:iCs/>
          <w:sz w:val="16"/>
          <w:szCs w:val="16"/>
        </w:rPr>
      </w:pPr>
      <w:r>
        <w:rPr>
          <w:rFonts w:cs="Calibri" w:cstheme="minorHAnsi"/>
          <w:i/>
          <w:iCs/>
          <w:sz w:val="16"/>
          <w:szCs w:val="16"/>
        </w:rPr>
      </w:r>
    </w:p>
    <w:p>
      <w:pPr>
        <w:pStyle w:val="ListParagraph"/>
        <w:numPr>
          <w:ilvl w:val="0"/>
          <w:numId w:val="3"/>
        </w:numPr>
        <w:spacing w:lineRule="auto" w:line="240" w:before="0" w:after="0"/>
        <w:contextualSpacing/>
        <w:rPr>
          <w:rFonts w:cs="Calibri" w:cstheme="minorHAnsi"/>
          <w:i/>
          <w:i/>
          <w:iCs/>
          <w:sz w:val="16"/>
          <w:szCs w:val="16"/>
        </w:rPr>
      </w:pPr>
      <w:r>
        <w:rPr>
          <w:rFonts w:cs="Calibri" w:cstheme="minorHAnsi"/>
          <w:i/>
          <w:iCs/>
          <w:sz w:val="16"/>
          <w:szCs w:val="16"/>
        </w:rPr>
        <w:t xml:space="preserve">Vysoká škola uvedie témy záverečných prác študijného programu (alebo odkaz na zoznam). </w:t>
      </w:r>
    </w:p>
    <w:p>
      <w:pPr>
        <w:pStyle w:val="Normal"/>
        <w:ind w:left="709" w:hanging="0"/>
        <w:jc w:val="both"/>
        <w:rPr>
          <w:rFonts w:eastAsia="Calibri" w:cs="Calibri"/>
          <w:i/>
          <w:i/>
          <w:iCs/>
          <w:color w:val="000000" w:themeColor="text1"/>
          <w:sz w:val="16"/>
          <w:szCs w:val="16"/>
        </w:rPr>
      </w:pPr>
      <w:r>
        <w:rPr>
          <w:rFonts w:cs="Calibri" w:cstheme="minorHAnsi"/>
          <w:i/>
          <w:iCs/>
          <w:sz w:val="16"/>
          <w:szCs w:val="16"/>
        </w:rPr>
        <w:t xml:space="preserve"> </w:t>
      </w:r>
      <w:r>
        <w:rPr>
          <w:rFonts w:eastAsia="Calibri" w:cs="Calibri"/>
          <w:i/>
          <w:iCs/>
          <w:color w:val="000000" w:themeColor="text1"/>
          <w:sz w:val="16"/>
          <w:szCs w:val="16"/>
        </w:rPr>
        <w:t>Fakulta každoročne v súlade so Študijným poriadkom PU v Prešove prostredníctvom jednotlivých pracovísk zverejňuje zoznam tém záverečných prác, najneskôr do 15. novembra daného akademického roka. Témy záverečných prác schvaľuje vedúci zamestnanec vedecko-pedagogického pracoviska a to tak, aby súčet záverečných prác na prvom a druhom stupni štúdia, vedených jedným zamestnancom nepresiahol v jednom akademickom roku desať. Pri schvaľovaní tém musí byť zároveň dodržaná podmienka, aby školiteľ záverečnej práce mal aspoň o jeden stupeň vyššie vysokoškolské vzdelanie, resp. kvalifikáciu, ako je vedená záverečná práca (jedinú výnimku tvoria odborníci z praxe), ako aj to, aby vypísaná téma zodpovedala vedecko-pedagogickej profilácii školiteľa. Vzhľadom k priemernému počtu prijímaných študentov v jednotlivých akademických rokoch a počtu študentov realizujúci záverečné práce na pracovisku žiadateľa predpokladáme, že udržateľnosť plnenia kritéria bude bezproblémová.</w:t>
      </w:r>
    </w:p>
    <w:p>
      <w:pPr>
        <w:pStyle w:val="Normal"/>
        <w:spacing w:lineRule="auto" w:line="240" w:before="0" w:after="0"/>
        <w:ind w:left="709" w:hanging="0"/>
        <w:rPr>
          <w:i/>
          <w:i/>
          <w:iCs/>
          <w:color w:val="000000" w:themeColor="text1"/>
          <w:sz w:val="16"/>
          <w:szCs w:val="16"/>
        </w:rPr>
      </w:pPr>
      <w:r>
        <w:rPr>
          <w:i/>
          <w:iCs/>
          <w:color w:val="000000" w:themeColor="text1"/>
          <w:sz w:val="16"/>
          <w:szCs w:val="16"/>
        </w:rPr>
        <w:t>V akademickom roku 2020/21 boli navrhnuté nasledovné témy:</w:t>
      </w:r>
    </w:p>
    <w:p>
      <w:pPr>
        <w:pStyle w:val="ListParagraph"/>
        <w:numPr>
          <w:ilvl w:val="0"/>
          <w:numId w:val="20"/>
        </w:numPr>
        <w:spacing w:lineRule="auto" w:line="240" w:before="0" w:after="0"/>
        <w:contextualSpacing/>
        <w:rPr>
          <w:rStyle w:val="Strong"/>
          <w:b w:val="false"/>
          <w:b w:val="false"/>
          <w:bCs w:val="false"/>
          <w:i/>
          <w:i/>
          <w:iCs/>
          <w:color w:val="000000" w:themeColor="text1"/>
          <w:sz w:val="16"/>
          <w:szCs w:val="16"/>
        </w:rPr>
      </w:pPr>
      <w:r>
        <w:rPr>
          <w:rStyle w:val="Strong"/>
          <w:rFonts w:cs="Calibri" w:cstheme="minorHAnsi"/>
          <w:i/>
          <w:sz w:val="16"/>
          <w:szCs w:val="16"/>
        </w:rPr>
        <w:t>Maľba na Slovensku po roku 2000</w:t>
      </w:r>
    </w:p>
    <w:p>
      <w:pPr>
        <w:pStyle w:val="ListParagraph"/>
        <w:numPr>
          <w:ilvl w:val="0"/>
          <w:numId w:val="20"/>
        </w:numPr>
        <w:spacing w:lineRule="auto" w:line="240" w:before="0" w:after="0"/>
        <w:contextualSpacing/>
        <w:rPr>
          <w:i/>
          <w:i/>
          <w:iCs/>
          <w:color w:val="000000" w:themeColor="text1"/>
          <w:sz w:val="16"/>
          <w:szCs w:val="16"/>
        </w:rPr>
      </w:pPr>
      <w:r>
        <w:rPr>
          <w:rStyle w:val="Strong"/>
          <w:rFonts w:cs="Calibri" w:cstheme="minorHAnsi"/>
          <w:i/>
          <w:sz w:val="16"/>
          <w:szCs w:val="16"/>
        </w:rPr>
        <w:t>Tradičný ornament v tvorbe súčasných  dizajnérov</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Gesto, gestikulácia a mimika v slovenskom  maliarstve po roku 1900</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Prvky matematiky a geometrie vo výtvarnom umení po roku 1945 a ich využitie vo výtvarnej výchove</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Súčasná kresba na východnom Slovensku</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Martin Zbojan – Grafika</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Katarína Smetanová, Ex libris v tvorbe umelkyne</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DUŠAN SRVÁTKA – Kresba, ilustrácia a malá grafika</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Východiská súčasnej slovenskej maľby strednej a nastupujúcej generácie</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Odraz francúzskeho moderného maliarstva v tvorbe Ester Martinčekovej – Šimerovej</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Teoretické práce Charlesa Blanca a dielo Georgesa Seurata</w:t>
      </w:r>
    </w:p>
    <w:p>
      <w:pPr>
        <w:pStyle w:val="ListParagraph"/>
        <w:numPr>
          <w:ilvl w:val="0"/>
          <w:numId w:val="20"/>
        </w:numPr>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Mail art ako konceptual art</w:t>
      </w:r>
    </w:p>
    <w:p>
      <w:pPr>
        <w:pStyle w:val="ListParagraph"/>
        <w:numPr>
          <w:ilvl w:val="0"/>
          <w:numId w:val="20"/>
        </w:numPr>
        <w:spacing w:lineRule="auto" w:line="240" w:before="0" w:after="0"/>
        <w:contextualSpacing/>
        <w:rPr>
          <w:rFonts w:cs="Calibri" w:cstheme="minorHAnsi"/>
          <w:i/>
          <w:i/>
          <w:iCs/>
          <w:sz w:val="16"/>
          <w:szCs w:val="16"/>
        </w:rPr>
      </w:pPr>
      <w:r>
        <w:rPr>
          <w:rStyle w:val="Strong"/>
          <w:rFonts w:cs="Calibri" w:cstheme="minorHAnsi"/>
          <w:i/>
          <w:sz w:val="16"/>
          <w:szCs w:val="16"/>
        </w:rPr>
        <w:t>Figurálny motív ako fenomén v súčasnej slovenskej maľbe</w:t>
      </w:r>
    </w:p>
    <w:p>
      <w:pPr>
        <w:pStyle w:val="ListParagraph"/>
        <w:numPr>
          <w:ilvl w:val="0"/>
          <w:numId w:val="3"/>
        </w:numPr>
        <w:spacing w:lineRule="auto" w:line="240" w:before="0" w:after="0"/>
        <w:contextualSpacing/>
        <w:jc w:val="both"/>
        <w:rPr>
          <w:rFonts w:cs="Calibri" w:cstheme="minorHAnsi"/>
          <w:i/>
          <w:i/>
          <w:iCs/>
          <w:sz w:val="16"/>
          <w:szCs w:val="16"/>
        </w:rPr>
      </w:pPr>
      <w:r>
        <w:rPr>
          <w:rFonts w:cs="Calibri" w:cstheme="minorHAnsi"/>
          <w:i/>
          <w:iCs/>
          <w:sz w:val="16"/>
          <w:szCs w:val="16"/>
        </w:rPr>
        <w:t>Vysoká škola popíše alebo sa odkáže na:</w:t>
      </w:r>
    </w:p>
    <w:p>
      <w:pPr>
        <w:pStyle w:val="ListParagraph"/>
        <w:numPr>
          <w:ilvl w:val="0"/>
          <w:numId w:val="18"/>
        </w:numPr>
        <w:spacing w:lineRule="auto" w:line="240" w:before="0" w:after="0"/>
        <w:contextualSpacing/>
        <w:jc w:val="both"/>
        <w:rPr>
          <w:i/>
          <w:i/>
          <w:iCs/>
          <w:color w:val="000000" w:themeColor="text1"/>
          <w:sz w:val="16"/>
          <w:szCs w:val="16"/>
        </w:rPr>
      </w:pPr>
      <w:r>
        <w:rPr>
          <w:i/>
          <w:iCs/>
          <w:color w:val="000000" w:themeColor="text1"/>
          <w:sz w:val="16"/>
          <w:szCs w:val="16"/>
        </w:rPr>
        <w:t xml:space="preserve">pravidlá pri zadávaní, spracovaní, oponovaní, obhajobe a hodnotení záverečných prác v študijnom programe,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Univerzita má vypracovaný ucelený systém  procesov zabezpečujúcich postup pre prípravu a organizáciu záverečných prác vo všetkých stupňoch štúdia. Základným dokumentom je Smernica o náležitostiach záverečných prác, ich bibliografickej registrácii, kontrole originality, uchovávaní a sprístupňovaní, vydaná rektorom PU v r. 2019. Smernica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Konkrétne postupy pre vymedzenie záverečných prác v magisterskom stupni štúdia, ich spracovanie, obhajoba a hodnotenie sú uvedené v Študijnom poriadku PU v článku 23.</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Obhajoba záverečnej práce je predmetom štátnej skúšky a študent za ňu získa 14 kreditov. Dostupné z: http://www.pulib.sk/web/data/pulib/subory/stranka/ezp-smernica2019.pdf</w:t>
      </w:r>
    </w:p>
    <w:p>
      <w:pPr>
        <w:pStyle w:val="ListParagraph"/>
        <w:spacing w:lineRule="auto" w:line="240" w:before="0" w:after="0"/>
        <w:ind w:left="360" w:hanging="0"/>
        <w:contextualSpacing/>
        <w:jc w:val="both"/>
        <w:rPr>
          <w:rFonts w:cs="Calibri" w:cstheme="minorHAnsi"/>
          <w:i/>
          <w:i/>
          <w:iCs/>
          <w:sz w:val="16"/>
          <w:szCs w:val="16"/>
        </w:rPr>
      </w:pPr>
      <w:r>
        <w:rPr>
          <w:rFonts w:cs="Calibri" w:cstheme="minorHAnsi"/>
          <w:i/>
          <w:iCs/>
          <w:sz w:val="16"/>
          <w:szCs w:val="16"/>
        </w:rPr>
      </w:r>
    </w:p>
    <w:p>
      <w:pPr>
        <w:pStyle w:val="ListParagraph"/>
        <w:numPr>
          <w:ilvl w:val="0"/>
          <w:numId w:val="18"/>
        </w:numPr>
        <w:spacing w:lineRule="auto" w:line="240" w:before="0" w:after="0"/>
        <w:contextualSpacing/>
        <w:jc w:val="both"/>
        <w:rPr>
          <w:i/>
          <w:i/>
          <w:iCs/>
          <w:color w:val="000000" w:themeColor="text1"/>
          <w:sz w:val="16"/>
          <w:szCs w:val="16"/>
        </w:rPr>
      </w:pPr>
      <w:r>
        <w:rPr>
          <w:i/>
          <w:iCs/>
          <w:color w:val="000000" w:themeColor="text1"/>
          <w:sz w:val="16"/>
          <w:szCs w:val="16"/>
        </w:rPr>
        <w:t xml:space="preserve">možnosti a postupy účasti na mobilitách študentov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Študijný poriadok PU v časti o organizácii vzdelávacej činnosti rieši právo študenta absolvovať časť štúdia na inej vysokej škole v Slovenskej republike alebo v zahraničí. Súhlas mobility udeľuje dekan/rektor, príp. prorektor pre vonkajšie vzťahy a marketing. Časť štúdia je uznávaná v súlade so zmluvou, s európskym štandardom a Európskym systémom transferu kreditov. Opatrenie rektora „Postup realizácie odchádzajúcich študentských mobilít v rámci programu Erasmus+“ je na Prešovskej univerzite v Prešove (PU) vydávané na základe ustanovenia § 15 ods. 1 písm. l) zákona č. 131/2002 Z. z. o vysokých školách a o zmene a doplnení niektorých zákonov v znení neskorších predpisov. Týmto opatrením rektora vedenie PU určuje priebeh aktivít jednotlivých aktérov súvisiacich s realizáciou študentských mobilít do zahraničia v rámci programu Erasmus+.1.1Úvodné ustanovenia Opatrenie rektora reaguje na hlavné myšlienky Bolonského procesu. PU pri koncipovaní kvality vzdelávania aplikuje prístupy deklarované v súčasných koncepciách určovania a hodnotenia výsledkov vzdelávania. Opatrenie rektora je s pracované v súlade s § 87a zákona o vysokých školách.</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Po ukončení mobility študentov sú výsledky vzdelania posudzované na základe kreditovej dotácie, ktorú študent získal na prijímajúcej inštitúcii.</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Študentskú mobilitu zabezpečuje a usmerňuje rektorom, resp. dekanom menovaný koordinátor. Jeho úlohou je pripraviť a realizovať program medzinárodnej spolupráce vo vzdelávacej oblasti, riešenie úloh spojených s vysielaním a prijímaním študentov, poskytovanie poradenských služieb študentom o možnostiach štúdia na iných vysokých školách v Slovenskej republike a v zahraničí.</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Dôkaz: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Študijný poriadok PU: https://www.unipo.sk/public/media/0190/STUD%2024.9.18%20pdf.pdf </w:t>
      </w:r>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 xml:space="preserve">Stránka PU: </w:t>
      </w:r>
      <w:hyperlink r:id="rId12" w:tgtFrame="https://www.unipo.sk/zahranicie/erasmus/studenti/">
        <w:r>
          <w:rPr>
            <w:i/>
            <w:iCs/>
            <w:color w:val="000000" w:themeColor="text1"/>
            <w:sz w:val="16"/>
            <w:szCs w:val="16"/>
          </w:rPr>
          <w:t>https://www.unipo.sk/zahranicie/erasmus/studenti/</w:t>
        </w:r>
      </w:hyperlink>
    </w:p>
    <w:p>
      <w:pPr>
        <w:pStyle w:val="Normal"/>
        <w:spacing w:lineRule="auto" w:line="240" w:before="0" w:after="0"/>
        <w:ind w:left="709" w:hanging="0"/>
        <w:jc w:val="both"/>
        <w:rPr>
          <w:i/>
          <w:i/>
          <w:iCs/>
          <w:color w:val="000000" w:themeColor="text1"/>
          <w:sz w:val="16"/>
          <w:szCs w:val="16"/>
        </w:rPr>
      </w:pPr>
      <w:r>
        <w:rPr>
          <w:i/>
          <w:iCs/>
          <w:color w:val="000000" w:themeColor="text1"/>
          <w:sz w:val="16"/>
          <w:szCs w:val="16"/>
        </w:rPr>
        <w:t>Opatrenie rektora PU: https://www.unipo.sk/public/media/10602/Opatrenie-rektora-8-05-31.pdf</w:t>
      </w:r>
    </w:p>
    <w:p>
      <w:pPr>
        <w:pStyle w:val="Normal"/>
        <w:spacing w:lineRule="auto" w:line="240" w:before="0" w:after="0"/>
        <w:jc w:val="both"/>
        <w:rPr>
          <w:i/>
          <w:i/>
          <w:iCs/>
          <w:color w:val="000000" w:themeColor="text1"/>
          <w:sz w:val="16"/>
          <w:szCs w:val="16"/>
        </w:rPr>
      </w:pPr>
      <w:r>
        <w:rPr>
          <w:i/>
          <w:iCs/>
          <w:color w:val="000000" w:themeColor="text1"/>
          <w:sz w:val="16"/>
          <w:szCs w:val="16"/>
        </w:rPr>
      </w:r>
    </w:p>
    <w:p>
      <w:pPr>
        <w:pStyle w:val="ListParagraph"/>
        <w:numPr>
          <w:ilvl w:val="0"/>
          <w:numId w:val="18"/>
        </w:numPr>
        <w:spacing w:lineRule="auto" w:line="240" w:before="0" w:after="0"/>
        <w:contextualSpacing/>
        <w:jc w:val="both"/>
        <w:rPr>
          <w:i/>
          <w:i/>
          <w:iCs/>
          <w:color w:val="000000" w:themeColor="text1"/>
          <w:sz w:val="16"/>
          <w:szCs w:val="16"/>
        </w:rPr>
      </w:pPr>
      <w:r>
        <w:rPr>
          <w:i/>
          <w:iCs/>
          <w:color w:val="000000" w:themeColor="text1"/>
          <w:sz w:val="16"/>
          <w:szCs w:val="16"/>
        </w:rPr>
        <w:t xml:space="preserve">pravidlá dodržiavania akademickej etiky a vyvodzovania dôsledkov, </w:t>
      </w:r>
    </w:p>
    <w:p>
      <w:pPr>
        <w:pStyle w:val="Normal"/>
        <w:spacing w:lineRule="auto" w:line="240" w:before="0" w:after="0"/>
        <w:ind w:left="709" w:hanging="0"/>
        <w:rPr>
          <w:i/>
          <w:i/>
          <w:iCs/>
          <w:color w:val="000000" w:themeColor="text1"/>
          <w:sz w:val="16"/>
          <w:szCs w:val="16"/>
        </w:rPr>
      </w:pPr>
      <w:r>
        <w:rPr>
          <w:i/>
          <w:iCs/>
          <w:color w:val="000000" w:themeColor="text1"/>
          <w:sz w:val="16"/>
          <w:szCs w:val="16"/>
        </w:rPr>
        <w:t>Pravidlá dodržiavania akademickej etiky a vyvodzovania dôsledkov uvádza dokument Etický kódex PU v Prešove. Vedecká integrita a etika dostupný z:  https://www.unipo.sk/public/media/38250/Etick%C3%BD%20k%C3%B3dex%20Pre%C5%A1ovskej%20univerzity%20v%20Pre%C5%A1ove.pdf</w:t>
      </w:r>
    </w:p>
    <w:p>
      <w:pPr>
        <w:pStyle w:val="Normal"/>
        <w:spacing w:lineRule="auto" w:line="240" w:before="0" w:after="0"/>
        <w:ind w:left="709" w:hanging="0"/>
        <w:rPr>
          <w:i/>
          <w:i/>
          <w:iCs/>
          <w:color w:val="000000" w:themeColor="text1"/>
          <w:sz w:val="16"/>
          <w:szCs w:val="16"/>
        </w:rPr>
      </w:pPr>
      <w:r>
        <w:rPr>
          <w:i/>
          <w:iCs/>
          <w:color w:val="000000" w:themeColor="text1"/>
          <w:sz w:val="16"/>
          <w:szCs w:val="16"/>
        </w:rPr>
        <w:t>a Zákon o sťažnostiach 2009: https://www.slov-lex.sk/pravne-predpisy/SK/ZZ/2010/9/</w:t>
      </w:r>
    </w:p>
    <w:p>
      <w:pPr>
        <w:pStyle w:val="Normal"/>
        <w:spacing w:lineRule="auto" w:line="240" w:before="0" w:after="0"/>
        <w:jc w:val="both"/>
        <w:rPr>
          <w:i/>
          <w:i/>
          <w:iCs/>
          <w:color w:val="000000" w:themeColor="text1"/>
          <w:sz w:val="16"/>
          <w:szCs w:val="16"/>
        </w:rPr>
      </w:pPr>
      <w:r>
        <w:rPr>
          <w:i/>
          <w:iCs/>
          <w:color w:val="000000" w:themeColor="text1"/>
          <w:sz w:val="16"/>
          <w:szCs w:val="16"/>
        </w:rPr>
      </w:r>
    </w:p>
    <w:p>
      <w:pPr>
        <w:pStyle w:val="ListParagraph"/>
        <w:numPr>
          <w:ilvl w:val="0"/>
          <w:numId w:val="18"/>
        </w:numPr>
        <w:spacing w:lineRule="auto" w:line="240" w:before="0" w:after="0"/>
        <w:contextualSpacing/>
        <w:jc w:val="both"/>
        <w:rPr>
          <w:i/>
          <w:i/>
          <w:iCs/>
          <w:color w:val="000000" w:themeColor="text1"/>
          <w:sz w:val="16"/>
          <w:szCs w:val="16"/>
        </w:rPr>
      </w:pPr>
      <w:r>
        <w:rPr>
          <w:i/>
          <w:iCs/>
          <w:color w:val="000000" w:themeColor="text1"/>
          <w:sz w:val="16"/>
          <w:szCs w:val="16"/>
        </w:rPr>
        <w:t xml:space="preserve">postupy aplikovateľné pre študentov so špeciálnymi potrebami, </w:t>
      </w:r>
    </w:p>
    <w:p>
      <w:pPr>
        <w:pStyle w:val="Normal"/>
        <w:spacing w:lineRule="auto" w:line="216"/>
        <w:ind w:left="709" w:hanging="0"/>
        <w:rPr>
          <w:rFonts w:eastAsia="Calibri" w:cs="Calibri"/>
          <w:i/>
          <w:i/>
          <w:iCs/>
          <w:color w:val="000000" w:themeColor="text1"/>
          <w:sz w:val="16"/>
          <w:szCs w:val="16"/>
        </w:rPr>
      </w:pPr>
      <w:r>
        <w:rPr>
          <w:rFonts w:eastAsia="Calibri" w:cs="Calibri"/>
          <w:i/>
          <w:iCs/>
          <w:color w:val="000000" w:themeColor="text1"/>
          <w:sz w:val="16"/>
          <w:szCs w:val="16"/>
        </w:rPr>
        <w:t xml:space="preserve">Rozmanitosť potrieb študentov (špeciálne potreby) je akceptovaná v rozsahu dokumentu Metodický sprievodca. Dokument v súlade s § 100 ods. 11 zákona č. 131/2002 Z. z. o vysokých školách a o zmene a doplnení niektorých zákonov v znení neskorších predpisov (ďalej „zákon o VŠ“) a Vyhlášky č. 458/2012 Z. z. o minimálnych nárokoch študenta so špecifickými potrebami vytvára všeobecne prístupné akademické prostredie a zodpovedajúce podmienky štúdia pre študentov so špecifickými potrebami bez znižovania požiadaviek na ich študijný výkon (viď. Metodický sprievodca: </w:t>
      </w:r>
      <w:hyperlink r:id="rId13">
        <w:r>
          <w:rPr>
            <w:rStyle w:val="InternetLink"/>
            <w:rFonts w:eastAsia="Calibri" w:cs="Calibri"/>
            <w:i/>
            <w:iCs/>
            <w:color w:val="000000" w:themeColor="text1"/>
            <w:sz w:val="16"/>
            <w:szCs w:val="16"/>
          </w:rPr>
          <w:t>https://www.unipo.sk/public/media/0190/METODIKA_%C5%A0%C5%A0P_april2017.pdf</w:t>
        </w:r>
      </w:hyperlink>
      <w:r>
        <w:rPr>
          <w:rFonts w:eastAsia="Calibri" w:cs="Calibri"/>
          <w:i/>
          <w:iCs/>
          <w:color w:val="000000" w:themeColor="text1"/>
          <w:sz w:val="16"/>
          <w:szCs w:val="16"/>
        </w:rPr>
        <w:t xml:space="preserve"> )</w:t>
      </w:r>
    </w:p>
    <w:p>
      <w:pPr>
        <w:pStyle w:val="Normal"/>
        <w:spacing w:lineRule="auto" w:line="240" w:before="0" w:after="0"/>
        <w:jc w:val="both"/>
        <w:rPr>
          <w:i/>
          <w:i/>
          <w:iCs/>
          <w:color w:val="000000" w:themeColor="text1"/>
          <w:sz w:val="16"/>
          <w:szCs w:val="16"/>
        </w:rPr>
      </w:pPr>
      <w:r>
        <w:rPr>
          <w:i/>
          <w:iCs/>
          <w:color w:val="000000" w:themeColor="text1"/>
          <w:sz w:val="16"/>
          <w:szCs w:val="16"/>
        </w:rPr>
      </w:r>
    </w:p>
    <w:p>
      <w:pPr>
        <w:pStyle w:val="ListParagraph"/>
        <w:numPr>
          <w:ilvl w:val="0"/>
          <w:numId w:val="18"/>
        </w:numPr>
        <w:spacing w:lineRule="auto" w:line="240" w:before="0" w:after="0"/>
        <w:contextualSpacing/>
        <w:jc w:val="both"/>
        <w:rPr>
          <w:i/>
          <w:i/>
          <w:iCs/>
          <w:color w:val="000000" w:themeColor="text1"/>
          <w:sz w:val="16"/>
          <w:szCs w:val="16"/>
        </w:rPr>
      </w:pPr>
      <w:r>
        <w:rPr>
          <w:i/>
          <w:iCs/>
          <w:color w:val="000000" w:themeColor="text1"/>
          <w:sz w:val="16"/>
          <w:szCs w:val="16"/>
        </w:rPr>
        <w:t xml:space="preserve">postupy podávania podnetov a odvolaní zo strany študenta. </w:t>
      </w:r>
    </w:p>
    <w:p>
      <w:pPr>
        <w:pStyle w:val="Normal"/>
        <w:ind w:left="709" w:hanging="0"/>
        <w:rPr>
          <w:rFonts w:eastAsia="Calibri" w:cs="Calibri"/>
          <w:i/>
          <w:i/>
          <w:iCs/>
          <w:color w:val="000000" w:themeColor="text1"/>
          <w:sz w:val="16"/>
          <w:szCs w:val="16"/>
        </w:rPr>
      </w:pPr>
      <w:r>
        <w:rPr>
          <w:rFonts w:eastAsia="Calibri" w:cs="Calibri"/>
          <w:i/>
          <w:iCs/>
          <w:color w:val="000000" w:themeColor="text1"/>
          <w:sz w:val="16"/>
          <w:szCs w:val="16"/>
        </w:rPr>
        <w:t>Pri podávaní podnetov a odvolaní zo strany študentov sa postupy týkajúce sa prijatia na školu, skúšok, ubytovania alebo trestnej činnosti riadia zákonom o sťažnostiach č. 9/2010 Z.z. a jeho novelou č. 94/2017 Z.z. (</w:t>
      </w:r>
      <w:hyperlink r:id="rId14">
        <w:r>
          <w:rPr>
            <w:rStyle w:val="InternetLink"/>
            <w:rFonts w:eastAsia="Calibri" w:cs="Calibri"/>
            <w:i/>
            <w:iCs/>
            <w:color w:val="000000" w:themeColor="text1"/>
            <w:sz w:val="16"/>
            <w:szCs w:val="16"/>
          </w:rPr>
          <w:t>https://www.aspi.sk/products/lawText/1/88314/1/2/zakon-c-94-2017-zz-ktorym-sa-meni-a-doplna-zakon-c-9-2010-zz-o-staznostiach-v-zneni-neskorsich-predpisov/zakon-c-94-2017-zz-ktorym-sa-meni-a-doplna-zakon-c-9-2010-zz-o-staznostiach-v-zneni-neskorsich-predpisov</w:t>
        </w:r>
      </w:hyperlink>
      <w:r>
        <w:rPr>
          <w:rFonts w:eastAsia="Calibri" w:cs="Calibri"/>
          <w:i/>
          <w:iCs/>
          <w:color w:val="000000" w:themeColor="text1"/>
          <w:sz w:val="16"/>
          <w:szCs w:val="16"/>
        </w:rPr>
        <w:t xml:space="preserve"> )</w:t>
      </w:r>
    </w:p>
    <w:p>
      <w:pPr>
        <w:pStyle w:val="Normal"/>
        <w:spacing w:lineRule="auto" w:line="216"/>
        <w:ind w:left="709" w:hanging="0"/>
        <w:rPr>
          <w:rFonts w:eastAsia="Calibri" w:cs="Calibri"/>
          <w:color w:val="000000" w:themeColor="text1"/>
          <w:sz w:val="16"/>
          <w:szCs w:val="16"/>
        </w:rPr>
      </w:pPr>
      <w:r>
        <w:rPr>
          <w:rFonts w:eastAsia="Calibri" w:cs="Calibri"/>
          <w:i/>
          <w:iCs/>
          <w:color w:val="000000" w:themeColor="text1"/>
          <w:sz w:val="16"/>
          <w:szCs w:val="16"/>
        </w:rPr>
        <w:t xml:space="preserve">Na základe odôvodneného prípadu má študent možnosť požiadať o nápravu výsledkov hodnotenia. Študent má z daného predmetu v akademickom roku, v ktorom je predmet zapísaný, právo na dva opravné termíny skúšky v rámci vypísaných termínov skúšok a harmonogramu akademického roku. Na žiadosť študenta umožní skúšajúci opravnú skúšku aj v prípade, že riadny termín skúšky študent absolvoval úspešne. Do MAIS sa zapíše opravný termín skúšky.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(viď. </w:t>
      </w:r>
      <w:r>
        <w:rPr>
          <w:rFonts w:eastAsia="Calibri" w:cs="Calibri"/>
          <w:color w:val="000000" w:themeColor="text1"/>
          <w:sz w:val="16"/>
          <w:szCs w:val="16"/>
        </w:rPr>
        <w:t xml:space="preserve">Študijný poriadok PU: </w:t>
      </w:r>
      <w:hyperlink r:id="rId15">
        <w:r>
          <w:rPr>
            <w:rStyle w:val="InternetLink"/>
            <w:rFonts w:eastAsia="Calibri" w:cs="Calibri"/>
            <w:color w:val="000000" w:themeColor="text1"/>
            <w:sz w:val="16"/>
            <w:szCs w:val="16"/>
          </w:rPr>
          <w:t>https://www.unipo.sk/public/media/0190/STUD%2024.9.18%20pdf.pdf</w:t>
        </w:r>
      </w:hyperlink>
      <w:r>
        <w:rPr>
          <w:rStyle w:val="InternetLink"/>
          <w:rFonts w:eastAsia="Calibri" w:cs="Calibri"/>
          <w:color w:val="000000" w:themeColor="text1"/>
          <w:sz w:val="16"/>
          <w:szCs w:val="16"/>
        </w:rPr>
        <w:t>)</w:t>
      </w:r>
    </w:p>
    <w:p>
      <w:pPr>
        <w:pStyle w:val="ListParagraph"/>
        <w:spacing w:lineRule="auto" w:line="240" w:before="0" w:after="0"/>
        <w:ind w:left="360" w:hanging="0"/>
        <w:contextualSpacing/>
        <w:jc w:val="both"/>
        <w:rPr>
          <w:rFonts w:cs="Calibri" w:cstheme="minorHAnsi"/>
          <w:sz w:val="16"/>
          <w:szCs w:val="16"/>
        </w:rPr>
      </w:pPr>
      <w:r>
        <w:rPr>
          <w:rFonts w:cs="Calibri" w:cstheme="minorHAnsi"/>
          <w:sz w:val="16"/>
          <w:szCs w:val="16"/>
        </w:rPr>
      </w:r>
    </w:p>
    <w:p>
      <w:pPr>
        <w:pStyle w:val="ListParagraph"/>
        <w:numPr>
          <w:ilvl w:val="0"/>
          <w:numId w:val="1"/>
        </w:numPr>
        <w:spacing w:lineRule="auto" w:line="240" w:before="0" w:after="0"/>
        <w:contextualSpacing/>
        <w:jc w:val="both"/>
        <w:rPr>
          <w:rFonts w:cs="Calibri" w:cstheme="minorHAnsi"/>
          <w:b/>
          <w:b/>
          <w:bCs/>
          <w:sz w:val="16"/>
          <w:szCs w:val="16"/>
        </w:rPr>
      </w:pPr>
      <w:r>
        <w:rPr>
          <w:rFonts w:cs="Calibri" w:cstheme="minorHAnsi"/>
          <w:b/>
          <w:bCs/>
          <w:sz w:val="16"/>
          <w:szCs w:val="16"/>
        </w:rPr>
        <w:t xml:space="preserve">Informačné listy predmetov študijného programu </w:t>
      </w:r>
    </w:p>
    <w:p>
      <w:pPr>
        <w:pStyle w:val="Normal"/>
        <w:ind w:firstLine="426"/>
        <w:rPr>
          <w:rFonts w:eastAsia="Calibri" w:cs="Calibri"/>
          <w:i/>
          <w:i/>
          <w:iCs/>
          <w:color w:val="000000" w:themeColor="text1"/>
          <w:sz w:val="16"/>
          <w:szCs w:val="16"/>
        </w:rPr>
      </w:pPr>
      <w:r>
        <w:rPr>
          <w:rFonts w:cs="Calibri" w:cstheme="minorHAnsi"/>
          <w:i/>
          <w:iCs/>
          <w:sz w:val="16"/>
          <w:szCs w:val="16"/>
        </w:rPr>
        <w:t xml:space="preserve">       </w:t>
      </w:r>
      <w:r>
        <w:rPr>
          <w:rFonts w:eastAsia="Calibri" w:cs="Calibri"/>
          <w:i/>
          <w:iCs/>
          <w:color w:val="000000" w:themeColor="text1"/>
          <w:sz w:val="16"/>
          <w:szCs w:val="16"/>
        </w:rPr>
        <w:t xml:space="preserve">Informačné listy predmetov sú dostupné na: </w:t>
      </w:r>
      <w:hyperlink r:id="rId16" w:tgtFrame="https://student.unipo.sk/maisportal/studijneprogramy.mais">
        <w:r>
          <w:rPr>
            <w:rFonts w:eastAsia="Calibri" w:cs="Calibri"/>
            <w:i/>
            <w:iCs/>
            <w:color w:val="000000" w:themeColor="text1"/>
            <w:sz w:val="16"/>
            <w:szCs w:val="16"/>
          </w:rPr>
          <w:t>https://student.unipo.sk/maisportal/studijneProgramy.mais</w:t>
        </w:r>
      </w:hyperlink>
    </w:p>
    <w:p>
      <w:pPr>
        <w:pStyle w:val="ListParagraph"/>
        <w:numPr>
          <w:ilvl w:val="0"/>
          <w:numId w:val="1"/>
        </w:numPr>
        <w:spacing w:lineRule="auto" w:line="240" w:before="0" w:after="0"/>
        <w:contextualSpacing/>
        <w:rPr>
          <w:rFonts w:cs="Calibri" w:cstheme="minorHAnsi"/>
          <w:b/>
          <w:b/>
          <w:bCs/>
          <w:sz w:val="16"/>
          <w:szCs w:val="16"/>
        </w:rPr>
      </w:pPr>
      <w:r>
        <w:rPr>
          <w:rFonts w:cs="Calibri" w:cstheme="minorHAnsi"/>
          <w:b/>
          <w:bCs/>
          <w:sz w:val="16"/>
          <w:szCs w:val="16"/>
        </w:rPr>
        <w:t xml:space="preserve">Aktuálny harmonogram akademického roka a aktuálny rozvrh </w:t>
      </w:r>
      <w:r>
        <w:rPr>
          <w:rFonts w:cs="Calibri" w:cstheme="minorHAnsi"/>
          <w:sz w:val="16"/>
          <w:szCs w:val="16"/>
        </w:rPr>
        <w:t xml:space="preserve">(alebo hypertextový odkaz). </w:t>
      </w:r>
    </w:p>
    <w:p>
      <w:pPr>
        <w:pStyle w:val="ListParagraph"/>
        <w:spacing w:lineRule="auto" w:line="240" w:before="0" w:after="0"/>
        <w:ind w:left="360" w:hanging="0"/>
        <w:contextualSpacing/>
        <w:rPr>
          <w:rFonts w:eastAsia="Calibri" w:cs="Calibri"/>
          <w:i/>
          <w:i/>
          <w:iCs/>
          <w:color w:val="000000" w:themeColor="text1"/>
          <w:sz w:val="16"/>
          <w:szCs w:val="16"/>
        </w:rPr>
      </w:pPr>
      <w:r>
        <w:rPr>
          <w:rFonts w:cs="Calibri" w:cstheme="minorHAnsi"/>
          <w:b/>
          <w:bCs/>
          <w:sz w:val="16"/>
          <w:szCs w:val="16"/>
        </w:rPr>
        <w:t xml:space="preserve"> </w:t>
      </w:r>
      <w:r>
        <w:rPr>
          <w:rFonts w:eastAsia="Calibri" w:cs="Calibri"/>
          <w:i/>
          <w:iCs/>
          <w:color w:val="000000" w:themeColor="text1"/>
          <w:sz w:val="16"/>
          <w:szCs w:val="16"/>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pPr>
        <w:pStyle w:val="ListParagraph"/>
        <w:spacing w:lineRule="auto" w:line="240" w:before="0" w:after="0"/>
        <w:ind w:left="360" w:hanging="0"/>
        <w:contextualSpacing/>
        <w:rPr>
          <w:rFonts w:eastAsia="Calibri" w:cs="Calibri"/>
          <w:i/>
          <w:i/>
          <w:iCs/>
          <w:color w:val="000000" w:themeColor="text1"/>
          <w:sz w:val="16"/>
          <w:szCs w:val="16"/>
        </w:rPr>
      </w:pPr>
      <w:r>
        <w:rPr>
          <w:rFonts w:eastAsia="Calibri" w:cs="Calibri"/>
          <w:i/>
          <w:iCs/>
          <w:color w:val="000000" w:themeColor="text1"/>
          <w:sz w:val="16"/>
          <w:szCs w:val="16"/>
        </w:rPr>
        <w:t xml:space="preserve">Študijné programy vytvára v MAIS fakultný/ katedrový/ / inštitútový správca predmetov štúdia a správca odporúčaného študijného programu (OŠP) a do rozvrhu ich nasadzuje fakultný/katedrový rozvrhár. Fakultný/ katedrový/ inštitucionálny rozvrhár nasadzuje predmety, ktoré sú schválené v študijnom programe. </w:t>
      </w:r>
    </w:p>
    <w:p>
      <w:pPr>
        <w:pStyle w:val="ListParagraph"/>
        <w:spacing w:lineRule="auto" w:line="240" w:before="0" w:after="0"/>
        <w:ind w:left="360" w:hanging="0"/>
        <w:contextualSpacing/>
        <w:rPr>
          <w:rFonts w:eastAsia="Calibri" w:cs="Calibri"/>
          <w:i/>
          <w:i/>
          <w:iCs/>
          <w:color w:val="000000" w:themeColor="text1"/>
          <w:sz w:val="16"/>
          <w:szCs w:val="16"/>
        </w:rPr>
      </w:pPr>
      <w:r>
        <w:rPr>
          <w:rFonts w:eastAsia="Calibri" w:cs="Calibri"/>
          <w:i/>
          <w:iCs/>
          <w:color w:val="000000" w:themeColor="text1"/>
          <w:sz w:val="16"/>
          <w:szCs w:val="16"/>
        </w:rPr>
        <w:t>Aktuálny upravený harmonogram akademického roka sa nachádza na stránke  PU v časti – študenti. Dostupné z</w:t>
      </w:r>
    </w:p>
    <w:p>
      <w:pPr>
        <w:pStyle w:val="ListParagraph"/>
        <w:spacing w:lineRule="auto" w:line="240" w:before="0" w:after="0"/>
        <w:ind w:left="360" w:hanging="0"/>
        <w:contextualSpacing/>
        <w:rPr>
          <w:rFonts w:eastAsia="Calibri" w:cs="Calibri"/>
          <w:i/>
          <w:i/>
          <w:iCs/>
          <w:color w:val="000000" w:themeColor="text1"/>
          <w:sz w:val="16"/>
          <w:szCs w:val="16"/>
        </w:rPr>
      </w:pPr>
      <w:hyperlink r:id="rId17">
        <w:r>
          <w:rPr>
            <w:rStyle w:val="InternetLink"/>
            <w:rFonts w:eastAsia="Calibri" w:cs="Calibri"/>
            <w:i/>
            <w:iCs/>
            <w:color w:val="000000" w:themeColor="text1"/>
            <w:sz w:val="16"/>
            <w:szCs w:val="16"/>
          </w:rPr>
          <w:t>https://www.unipo.sk/vseobecne-informacie/studenti/harmonogram/</w:t>
        </w:r>
      </w:hyperlink>
    </w:p>
    <w:p>
      <w:pPr>
        <w:pStyle w:val="ListParagraph"/>
        <w:spacing w:lineRule="auto" w:line="240" w:before="0" w:after="0"/>
        <w:ind w:left="360" w:hanging="0"/>
        <w:contextualSpacing/>
        <w:rPr>
          <w:rFonts w:eastAsia="Calibri" w:cs="Calibri"/>
          <w:i/>
          <w:i/>
          <w:iCs/>
          <w:color w:val="000000" w:themeColor="text1"/>
          <w:sz w:val="16"/>
          <w:szCs w:val="16"/>
        </w:rPr>
      </w:pPr>
      <w:r>
        <w:rPr>
          <w:rFonts w:eastAsia="Calibri" w:cs="Calibri"/>
          <w:i/>
          <w:iCs/>
          <w:color w:val="000000" w:themeColor="text1"/>
          <w:sz w:val="16"/>
          <w:szCs w:val="16"/>
        </w:rPr>
        <w:t xml:space="preserve">Rozvrh je dostupný na verejnom portáli MAIS: </w:t>
      </w:r>
      <w:hyperlink r:id="rId18" w:tgtFrame="https://student.unipo.sk/maisportal/rozvrhy.mais">
        <w:r>
          <w:rPr>
            <w:rFonts w:eastAsia="Calibri" w:cs="Calibri"/>
            <w:i/>
            <w:iCs/>
            <w:color w:val="000000" w:themeColor="text1"/>
            <w:sz w:val="16"/>
            <w:szCs w:val="16"/>
          </w:rPr>
          <w:t>https://student.unipo.sk/maisportal/rozvrhy.mais</w:t>
        </w:r>
      </w:hyperlink>
    </w:p>
    <w:p>
      <w:pPr>
        <w:pStyle w:val="ListParagraph"/>
        <w:spacing w:lineRule="auto" w:line="240" w:before="0" w:after="0"/>
        <w:ind w:left="360" w:hanging="0"/>
        <w:contextualSpacing/>
        <w:rPr>
          <w:rFonts w:cs="Calibri" w:cstheme="minorHAnsi"/>
          <w:b/>
          <w:b/>
          <w:bCs/>
          <w:sz w:val="16"/>
          <w:szCs w:val="16"/>
        </w:rPr>
      </w:pPr>
      <w:r>
        <w:rPr>
          <w:rFonts w:cs="Calibri" w:cstheme="minorHAnsi"/>
          <w:b/>
          <w:bCs/>
          <w:sz w:val="16"/>
          <w:szCs w:val="16"/>
        </w:rPr>
      </w:r>
    </w:p>
    <w:p>
      <w:pPr>
        <w:pStyle w:val="ListParagraph"/>
        <w:numPr>
          <w:ilvl w:val="0"/>
          <w:numId w:val="1"/>
        </w:numPr>
        <w:spacing w:lineRule="auto" w:line="240" w:before="0" w:after="0"/>
        <w:contextualSpacing/>
        <w:rPr>
          <w:rFonts w:cs="Calibri" w:cstheme="minorHAnsi"/>
          <w:b/>
          <w:b/>
          <w:bCs/>
          <w:sz w:val="16"/>
          <w:szCs w:val="16"/>
        </w:rPr>
      </w:pPr>
      <w:r>
        <w:rPr>
          <w:rFonts w:cs="Calibri" w:cstheme="minorHAnsi"/>
          <w:b/>
          <w:bCs/>
          <w:sz w:val="16"/>
          <w:szCs w:val="16"/>
        </w:rPr>
        <w:t xml:space="preserve">Personálne zabezpečenie študijného programu </w:t>
      </w:r>
    </w:p>
    <w:p>
      <w:pPr>
        <w:pStyle w:val="ListParagraph"/>
        <w:numPr>
          <w:ilvl w:val="0"/>
          <w:numId w:val="4"/>
        </w:numPr>
        <w:spacing w:lineRule="auto" w:line="259" w:before="0" w:after="160"/>
        <w:contextualSpacing/>
        <w:rPr>
          <w:rFonts w:cs="Calibri" w:cstheme="minorHAnsi"/>
          <w:sz w:val="16"/>
          <w:szCs w:val="16"/>
        </w:rPr>
      </w:pPr>
      <w:r>
        <w:rPr>
          <w:rFonts w:cs="Calibri" w:cstheme="minorHAnsi"/>
          <w:sz w:val="16"/>
          <w:szCs w:val="16"/>
        </w:rPr>
        <w:t>Osoba zodpovedná za uskutočňovanie, rozvoj a kvalitu študijného programu (s uvedením funkcie a kontaktu).</w:t>
      </w:r>
    </w:p>
    <w:p>
      <w:pPr>
        <w:pStyle w:val="ListParagraph"/>
        <w:numPr>
          <w:ilvl w:val="0"/>
          <w:numId w:val="4"/>
        </w:numPr>
        <w:spacing w:lineRule="auto" w:line="240" w:before="0" w:after="0"/>
        <w:contextualSpacing/>
        <w:rPr>
          <w:rFonts w:cs="Calibri" w:cstheme="minorHAnsi"/>
          <w:sz w:val="16"/>
          <w:szCs w:val="16"/>
        </w:rPr>
      </w:pPr>
      <w:r>
        <w:rPr>
          <w:rFonts w:cs="Calibri" w:cstheme="minorHAnsi"/>
          <w:i/>
          <w:sz w:val="16"/>
          <w:szCs w:val="16"/>
        </w:rPr>
        <w:t xml:space="preserve">Dr. hab. Peter Kocák, PhD., akademický maliar, mimoriadny profesor, </w:t>
      </w:r>
      <w:hyperlink r:id="rId19">
        <w:r>
          <w:rPr>
            <w:rStyle w:val="InternetLink"/>
            <w:rFonts w:cs="Calibri" w:cstheme="minorHAnsi"/>
            <w:i/>
            <w:sz w:val="16"/>
            <w:szCs w:val="16"/>
          </w:rPr>
          <w:t>peter.kocak@unipo.sk</w:t>
        </w:r>
      </w:hyperlink>
      <w:r>
        <w:rPr>
          <w:rFonts w:cs="Calibri" w:cstheme="minorHAnsi"/>
          <w:sz w:val="16"/>
          <w:szCs w:val="16"/>
        </w:rPr>
        <w:t>Zoznam osôb zabezpečujúcich profilové predmety študijného programu s priradením k predmetu s prepojením na centrálny Register zamestnancov vysokých škôl, s kontaktom (môžu byť uvedení aj v študijnom pláne).</w:t>
      </w:r>
    </w:p>
    <w:p>
      <w:pPr>
        <w:pStyle w:val="ListParagraph"/>
        <w:numPr>
          <w:ilvl w:val="0"/>
          <w:numId w:val="4"/>
        </w:numPr>
        <w:spacing w:lineRule="auto" w:line="259" w:before="0" w:after="160"/>
        <w:contextualSpacing/>
        <w:rPr>
          <w:rFonts w:cs="Calibri" w:cstheme="minorHAnsi"/>
          <w:i/>
          <w:i/>
          <w:sz w:val="16"/>
          <w:szCs w:val="16"/>
        </w:rPr>
      </w:pPr>
      <w:r>
        <w:rPr>
          <w:rFonts w:cs="Calibri" w:cstheme="minorHAnsi"/>
          <w:sz w:val="16"/>
          <w:szCs w:val="16"/>
        </w:rPr>
        <w:t xml:space="preserve">          </w:t>
      </w:r>
      <w:r>
        <w:rPr>
          <w:rFonts w:cs="Calibri" w:cstheme="minorHAnsi"/>
          <w:i/>
          <w:sz w:val="16"/>
          <w:szCs w:val="16"/>
        </w:rPr>
        <w:t xml:space="preserve">dr. hab. Peter Kocák, PhD., akademický maliar, </w:t>
      </w:r>
      <w:hyperlink r:id="rId20">
        <w:r>
          <w:rPr>
            <w:rStyle w:val="InternetLink"/>
            <w:rFonts w:cs="Calibri" w:cstheme="minorHAnsi"/>
            <w:i/>
            <w:sz w:val="16"/>
            <w:szCs w:val="16"/>
          </w:rPr>
          <w:t>peter.kocak@unipo.sk</w:t>
        </w:r>
      </w:hyperlink>
    </w:p>
    <w:p>
      <w:pPr>
        <w:pStyle w:val="ListParagraph"/>
        <w:ind w:left="360" w:hanging="0"/>
        <w:rPr/>
      </w:pPr>
      <w:r>
        <w:rPr>
          <w:rFonts w:cs="Calibri" w:cstheme="minorHAnsi"/>
          <w:i/>
          <w:sz w:val="16"/>
          <w:szCs w:val="16"/>
        </w:rPr>
        <w:t xml:space="preserve">          </w:t>
      </w:r>
      <w:r>
        <w:rPr>
          <w:rFonts w:cs="Calibri" w:cstheme="minorHAnsi"/>
          <w:i/>
          <w:sz w:val="16"/>
          <w:szCs w:val="16"/>
        </w:rPr>
        <w:t xml:space="preserve">doc. Vladislav Grešlík, ArtD., </w:t>
      </w:r>
      <w:hyperlink r:id="rId21">
        <w:r>
          <w:rPr>
            <w:rStyle w:val="InternetLink"/>
            <w:rFonts w:cs="Calibri" w:cstheme="minorHAnsi"/>
            <w:i/>
            <w:sz w:val="16"/>
            <w:szCs w:val="16"/>
          </w:rPr>
          <w:t>vladislav.grešlik@unipo.sk</w:t>
        </w:r>
      </w:hyperlink>
    </w:p>
    <w:p>
      <w:pPr>
        <w:pStyle w:val="ListParagraph"/>
        <w:ind w:left="360" w:hanging="0"/>
        <w:rPr>
          <w:rFonts w:cs="Calibri" w:cstheme="minorHAnsi"/>
          <w:i/>
          <w:i/>
          <w:sz w:val="16"/>
          <w:szCs w:val="16"/>
        </w:rPr>
      </w:pPr>
      <w:r>
        <w:rPr>
          <w:rFonts w:cs="Calibri" w:cstheme="minorHAnsi"/>
          <w:i/>
          <w:sz w:val="16"/>
          <w:szCs w:val="16"/>
        </w:rPr>
        <w:t xml:space="preserve">          </w:t>
      </w:r>
      <w:r>
        <w:rPr>
          <w:rFonts w:cs="Calibri" w:cstheme="minorHAnsi"/>
          <w:i/>
          <w:sz w:val="16"/>
          <w:szCs w:val="16"/>
        </w:rPr>
        <w:t xml:space="preserve">doc. Martin Zbojan,PhD., akademický maliar,  </w:t>
      </w:r>
      <w:hyperlink r:id="rId22">
        <w:r>
          <w:rPr>
            <w:rStyle w:val="InternetLink"/>
            <w:rFonts w:cs="Calibri" w:cstheme="minorHAnsi"/>
            <w:i/>
            <w:sz w:val="16"/>
            <w:szCs w:val="16"/>
          </w:rPr>
          <w:t>martin.zbojan@unipo.sk</w:t>
        </w:r>
      </w:hyperlink>
    </w:p>
    <w:p>
      <w:pPr>
        <w:pStyle w:val="ListParagraph"/>
        <w:ind w:left="360" w:hanging="0"/>
        <w:rPr>
          <w:rFonts w:cs="Calibri" w:cstheme="minorHAnsi"/>
          <w:i/>
          <w:i/>
          <w:sz w:val="16"/>
          <w:szCs w:val="16"/>
        </w:rPr>
      </w:pPr>
      <w:r>
        <w:rPr>
          <w:rFonts w:cs="Calibri" w:cstheme="minorHAnsi"/>
          <w:i/>
          <w:sz w:val="16"/>
          <w:szCs w:val="16"/>
        </w:rPr>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Odkaz na vedecko/umelecko-pedagogické charakteristiky osôb zabezpečujúcich profilové predmety študijného programu. </w:t>
      </w:r>
    </w:p>
    <w:p>
      <w:pPr>
        <w:pStyle w:val="ListParagraph"/>
        <w:numPr>
          <w:ilvl w:val="0"/>
          <w:numId w:val="4"/>
        </w:numPr>
        <w:spacing w:lineRule="auto" w:line="259" w:before="0" w:after="160"/>
        <w:contextualSpacing/>
        <w:rPr>
          <w:rFonts w:cs="Calibri" w:cstheme="minorHAnsi"/>
          <w:i/>
          <w:i/>
          <w:sz w:val="16"/>
          <w:szCs w:val="16"/>
        </w:rPr>
      </w:pPr>
      <w:r>
        <w:rPr>
          <w:rFonts w:cs="Calibri" w:cstheme="minorHAnsi"/>
          <w:sz w:val="16"/>
          <w:szCs w:val="16"/>
        </w:rPr>
        <w:t xml:space="preserve">          </w:t>
      </w:r>
      <w:r>
        <w:rPr>
          <w:rFonts w:cs="Calibri" w:cstheme="minorHAnsi"/>
          <w:i/>
          <w:sz w:val="16"/>
          <w:szCs w:val="16"/>
        </w:rPr>
        <w:t xml:space="preserve">dr. hab. Peter Kocák, PhD., akademický maliar, </w:t>
      </w:r>
      <w:hyperlink r:id="rId23">
        <w:r>
          <w:rPr>
            <w:rStyle w:val="InternetLink"/>
            <w:rFonts w:cs="Calibri" w:cstheme="minorHAnsi"/>
            <w:i/>
            <w:sz w:val="16"/>
            <w:szCs w:val="16"/>
          </w:rPr>
          <w:t>peter.kocak@unipo.sk</w:t>
        </w:r>
      </w:hyperlink>
    </w:p>
    <w:p>
      <w:pPr>
        <w:pStyle w:val="ListParagraph"/>
        <w:ind w:left="360" w:hanging="0"/>
        <w:rPr/>
      </w:pPr>
      <w:r>
        <w:rPr>
          <w:rFonts w:cs="Calibri" w:cstheme="minorHAnsi"/>
          <w:i/>
          <w:sz w:val="16"/>
          <w:szCs w:val="16"/>
        </w:rPr>
        <w:t xml:space="preserve">          </w:t>
      </w:r>
      <w:r>
        <w:rPr>
          <w:rFonts w:cs="Calibri" w:cstheme="minorHAnsi"/>
          <w:i/>
          <w:sz w:val="16"/>
          <w:szCs w:val="16"/>
        </w:rPr>
        <w:t xml:space="preserve">doc. Vladislav Grešlík, ArtD., </w:t>
      </w:r>
      <w:hyperlink r:id="rId24">
        <w:r>
          <w:rPr>
            <w:rStyle w:val="InternetLink"/>
            <w:rFonts w:cs="Calibri" w:cstheme="minorHAnsi"/>
            <w:i/>
            <w:sz w:val="16"/>
            <w:szCs w:val="16"/>
          </w:rPr>
          <w:t>vladislav.grešlik@unipo.sk</w:t>
        </w:r>
      </w:hyperlink>
    </w:p>
    <w:p>
      <w:pPr>
        <w:pStyle w:val="ListParagraph"/>
        <w:ind w:left="360" w:hanging="0"/>
        <w:rPr>
          <w:rFonts w:cs="Calibri" w:cstheme="minorHAnsi"/>
          <w:i/>
          <w:i/>
          <w:sz w:val="16"/>
          <w:szCs w:val="16"/>
        </w:rPr>
      </w:pPr>
      <w:r>
        <w:rPr>
          <w:rFonts w:cs="Calibri" w:cstheme="minorHAnsi"/>
          <w:i/>
          <w:sz w:val="16"/>
          <w:szCs w:val="16"/>
        </w:rPr>
        <w:t xml:space="preserve">          </w:t>
      </w:r>
      <w:r>
        <w:rPr>
          <w:rFonts w:cs="Calibri" w:cstheme="minorHAnsi"/>
          <w:i/>
          <w:sz w:val="16"/>
          <w:szCs w:val="16"/>
        </w:rPr>
        <w:t xml:space="preserve">doc. Martin Zbojan,PhD., akademický maliar,  </w:t>
      </w:r>
      <w:hyperlink r:id="rId25">
        <w:r>
          <w:rPr>
            <w:rStyle w:val="InternetLink"/>
            <w:rFonts w:cs="Calibri" w:cstheme="minorHAnsi"/>
            <w:i/>
            <w:sz w:val="16"/>
            <w:szCs w:val="16"/>
          </w:rPr>
          <w:t>martin.zbojan@unipo.sk</w:t>
        </w:r>
      </w:hyperlink>
    </w:p>
    <w:p>
      <w:pPr>
        <w:pStyle w:val="ListParagraph"/>
        <w:ind w:left="360" w:hanging="0"/>
        <w:rPr>
          <w:rFonts w:cs="Calibri" w:cstheme="minorHAnsi"/>
          <w:sz w:val="16"/>
          <w:szCs w:val="16"/>
        </w:rPr>
      </w:pPr>
      <w:r>
        <w:rPr>
          <w:rFonts w:cs="Calibri" w:cstheme="minorHAnsi"/>
          <w:sz w:val="16"/>
          <w:szCs w:val="16"/>
        </w:rPr>
        <w:t xml:space="preserve">         </w:t>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Zoznam učiteľov študijného programu s priradením k predmetu a prepojením na centrálny register zamestnancov vysokých škôl,  s uvedením kontaktov (môže byť súčasťou študijného plánu). </w:t>
      </w:r>
    </w:p>
    <w:p>
      <w:pPr>
        <w:pStyle w:val="ListParagraph"/>
        <w:numPr>
          <w:ilvl w:val="0"/>
          <w:numId w:val="4"/>
        </w:numPr>
        <w:spacing w:lineRule="auto" w:line="259" w:before="0" w:after="160"/>
        <w:contextualSpacing/>
        <w:rPr>
          <w:rFonts w:cs="Calibri" w:cstheme="minorHAnsi"/>
          <w:i/>
          <w:i/>
          <w:sz w:val="16"/>
          <w:szCs w:val="16"/>
        </w:rPr>
      </w:pPr>
      <w:r>
        <w:rPr>
          <w:rFonts w:cs="Calibri" w:cstheme="minorHAnsi"/>
          <w:sz w:val="16"/>
          <w:szCs w:val="16"/>
        </w:rPr>
        <w:t xml:space="preserve">          </w:t>
      </w:r>
      <w:r>
        <w:rPr>
          <w:rFonts w:cs="Calibri" w:cstheme="minorHAnsi"/>
          <w:i/>
          <w:sz w:val="16"/>
          <w:szCs w:val="16"/>
        </w:rPr>
        <w:t xml:space="preserve">dr. hab. Peter Kocák, PhD., akademický maliar, </w:t>
      </w:r>
      <w:hyperlink r:id="rId26">
        <w:r>
          <w:rPr>
            <w:rStyle w:val="InternetLink"/>
            <w:rFonts w:cs="Calibri" w:cstheme="minorHAnsi"/>
            <w:i/>
            <w:sz w:val="16"/>
            <w:szCs w:val="16"/>
          </w:rPr>
          <w:t>peter.kocak@unipo.sk</w:t>
        </w:r>
      </w:hyperlink>
    </w:p>
    <w:p>
      <w:pPr>
        <w:pStyle w:val="ListParagraph"/>
        <w:ind w:left="360" w:hanging="0"/>
        <w:rPr/>
      </w:pPr>
      <w:r>
        <w:rPr>
          <w:rFonts w:cs="Calibri" w:cstheme="minorHAnsi"/>
          <w:i/>
          <w:sz w:val="16"/>
          <w:szCs w:val="16"/>
        </w:rPr>
        <w:t xml:space="preserve">          </w:t>
      </w:r>
      <w:r>
        <w:rPr>
          <w:rFonts w:cs="Calibri" w:cstheme="minorHAnsi"/>
          <w:i/>
          <w:sz w:val="16"/>
          <w:szCs w:val="16"/>
        </w:rPr>
        <w:t xml:space="preserve">doc. Vladislav Grešlík, ArtD., </w:t>
      </w:r>
      <w:hyperlink r:id="rId27">
        <w:r>
          <w:rPr>
            <w:rStyle w:val="InternetLink"/>
            <w:rFonts w:cs="Calibri" w:cstheme="minorHAnsi"/>
            <w:i/>
            <w:sz w:val="16"/>
            <w:szCs w:val="16"/>
          </w:rPr>
          <w:t>vladislav.grešlik@unipo.sk</w:t>
        </w:r>
      </w:hyperlink>
    </w:p>
    <w:p>
      <w:pPr>
        <w:pStyle w:val="ListParagraph"/>
        <w:ind w:left="360" w:hanging="0"/>
        <w:rPr>
          <w:rFonts w:cs="Calibri" w:cstheme="minorHAnsi"/>
          <w:i/>
          <w:i/>
          <w:sz w:val="16"/>
          <w:szCs w:val="16"/>
        </w:rPr>
      </w:pPr>
      <w:r>
        <w:rPr>
          <w:rFonts w:cs="Calibri" w:cstheme="minorHAnsi"/>
          <w:i/>
          <w:sz w:val="16"/>
          <w:szCs w:val="16"/>
        </w:rPr>
        <w:t xml:space="preserve">          </w:t>
      </w:r>
      <w:r>
        <w:rPr>
          <w:rFonts w:cs="Calibri" w:cstheme="minorHAnsi"/>
          <w:i/>
          <w:sz w:val="16"/>
          <w:szCs w:val="16"/>
        </w:rPr>
        <w:t xml:space="preserve">doc. Martin Zbojan,PhD., akademický maliar,  </w:t>
      </w:r>
      <w:hyperlink r:id="rId28">
        <w:r>
          <w:rPr>
            <w:rStyle w:val="InternetLink"/>
            <w:rFonts w:cs="Calibri" w:cstheme="minorHAnsi"/>
            <w:i/>
            <w:sz w:val="16"/>
            <w:szCs w:val="16"/>
          </w:rPr>
          <w:t>martin.zbojan@unipo.sk</w:t>
        </w:r>
      </w:hyperlink>
    </w:p>
    <w:p>
      <w:pPr>
        <w:pStyle w:val="ListParagraph"/>
        <w:ind w:left="360" w:hanging="0"/>
        <w:rPr>
          <w:rStyle w:val="InternetLink"/>
          <w:rFonts w:cs="Calibri" w:cstheme="minorHAnsi"/>
          <w:i/>
          <w:i/>
          <w:sz w:val="16"/>
          <w:szCs w:val="16"/>
        </w:rPr>
      </w:pPr>
      <w:r>
        <w:rPr>
          <w:rFonts w:cs="Calibri" w:cstheme="minorHAnsi"/>
          <w:i/>
          <w:sz w:val="16"/>
          <w:szCs w:val="16"/>
        </w:rPr>
        <w:t xml:space="preserve">          </w:t>
      </w:r>
      <w:r>
        <w:rPr>
          <w:rFonts w:cs="Calibri" w:cstheme="minorHAnsi"/>
          <w:i/>
          <w:sz w:val="16"/>
          <w:szCs w:val="16"/>
        </w:rPr>
        <w:t xml:space="preserve">Mgr. Jaroslav Ondo, PhD., </w:t>
      </w:r>
      <w:hyperlink r:id="rId29">
        <w:r>
          <w:rPr>
            <w:rStyle w:val="InternetLink"/>
            <w:rFonts w:cs="Calibri" w:cstheme="minorHAnsi"/>
            <w:i/>
            <w:sz w:val="16"/>
            <w:szCs w:val="16"/>
          </w:rPr>
          <w:t>jaroslav.ondo@unipo.sk</w:t>
        </w:r>
      </w:hyperlink>
      <w:r>
        <w:rPr>
          <w:rStyle w:val="InternetLink"/>
          <w:rFonts w:cs="Calibri" w:cstheme="minorHAnsi"/>
          <w:i/>
          <w:sz w:val="16"/>
          <w:szCs w:val="16"/>
        </w:rPr>
        <w:t xml:space="preserve"> </w:t>
      </w:r>
    </w:p>
    <w:p>
      <w:pPr>
        <w:pStyle w:val="ListParagraph"/>
        <w:ind w:left="360" w:hanging="0"/>
        <w:rPr>
          <w:rFonts w:cs="Calibri" w:cstheme="minorHAnsi"/>
          <w:i/>
          <w:i/>
          <w:sz w:val="16"/>
          <w:szCs w:val="16"/>
          <w:lang w:val="en-US"/>
        </w:rPr>
      </w:pPr>
      <w:r>
        <w:rPr>
          <w:rFonts w:cs="Calibri" w:cstheme="minorHAnsi"/>
          <w:i/>
          <w:sz w:val="16"/>
          <w:szCs w:val="16"/>
        </w:rPr>
        <w:t>Mgr. art. Adam Macko, ArtD. adam.macko</w:t>
      </w:r>
      <w:r>
        <w:rPr>
          <w:rFonts w:cs="Calibri" w:cstheme="minorHAnsi"/>
          <w:i/>
          <w:sz w:val="16"/>
          <w:szCs w:val="16"/>
          <w:lang w:val="en-US"/>
        </w:rPr>
        <w:t>@unipo.sk</w:t>
      </w:r>
    </w:p>
    <w:p>
      <w:pPr>
        <w:pStyle w:val="ListParagraph"/>
        <w:ind w:left="360" w:hanging="0"/>
        <w:rPr>
          <w:rFonts w:cs="Calibri" w:cstheme="minorHAnsi"/>
          <w:i/>
          <w:i/>
          <w:sz w:val="16"/>
          <w:szCs w:val="16"/>
        </w:rPr>
      </w:pPr>
      <w:r>
        <w:rPr>
          <w:rFonts w:cs="Calibri" w:cstheme="minorHAnsi"/>
          <w:i/>
          <w:sz w:val="16"/>
          <w:szCs w:val="16"/>
        </w:rPr>
        <w:t xml:space="preserve">Mgr. art. Vladimír Ganaj, ArtD., </w:t>
      </w:r>
      <w:hyperlink r:id="rId30">
        <w:r>
          <w:rPr>
            <w:rStyle w:val="InternetLink"/>
            <w:rFonts w:cs="Calibri" w:cstheme="minorHAnsi"/>
            <w:i/>
            <w:sz w:val="16"/>
            <w:szCs w:val="16"/>
          </w:rPr>
          <w:t>vladimir.ganaj@unipo.sk</w:t>
        </w:r>
      </w:hyperlink>
    </w:p>
    <w:p>
      <w:pPr>
        <w:pStyle w:val="ListParagraph"/>
        <w:ind w:left="360" w:hanging="0"/>
        <w:rPr>
          <w:rFonts w:cs="Calibri" w:cstheme="minorHAnsi"/>
          <w:i/>
          <w:i/>
          <w:sz w:val="16"/>
          <w:szCs w:val="16"/>
        </w:rPr>
      </w:pPr>
      <w:r>
        <w:rPr>
          <w:rFonts w:cs="Calibri" w:cstheme="minorHAnsi"/>
          <w:i/>
          <w:sz w:val="16"/>
          <w:szCs w:val="16"/>
        </w:rPr>
        <w:t>Mgr. art. Radka Baňacká</w:t>
      </w:r>
    </w:p>
    <w:p>
      <w:pPr>
        <w:pStyle w:val="ListParagraph"/>
        <w:ind w:left="360" w:hanging="0"/>
        <w:rPr>
          <w:rFonts w:cs="Calibri" w:cstheme="minorHAnsi"/>
          <w:i/>
          <w:i/>
          <w:sz w:val="16"/>
          <w:szCs w:val="16"/>
        </w:rPr>
      </w:pPr>
      <w:r>
        <w:rPr>
          <w:rFonts w:cs="Calibri" w:cstheme="minorHAnsi"/>
          <w:i/>
          <w:sz w:val="16"/>
          <w:szCs w:val="16"/>
        </w:rPr>
      </w:r>
    </w:p>
    <w:p>
      <w:pPr>
        <w:pStyle w:val="ListParagraph"/>
        <w:ind w:left="360" w:hanging="360"/>
        <w:rPr>
          <w:rFonts w:cs="Calibri" w:cstheme="minorHAnsi"/>
          <w:i/>
          <w:i/>
          <w:iCs/>
          <w:color w:val="000000" w:themeColor="text1"/>
          <w:sz w:val="16"/>
          <w:szCs w:val="16"/>
        </w:rPr>
      </w:pPr>
      <w:r>
        <w:rPr>
          <w:rFonts w:cs="Calibri" w:cstheme="minorHAnsi"/>
          <w:i/>
          <w:iCs/>
          <w:color w:val="000000" w:themeColor="text1"/>
          <w:sz w:val="16"/>
          <w:szCs w:val="16"/>
        </w:rPr>
        <w:t xml:space="preserve">          </w:t>
      </w:r>
      <w:r>
        <w:rPr>
          <w:rFonts w:cs="Calibri" w:cstheme="minorHAnsi"/>
          <w:i/>
          <w:iCs/>
          <w:color w:val="000000" w:themeColor="text1"/>
          <w:sz w:val="16"/>
          <w:szCs w:val="16"/>
        </w:rPr>
        <w:t>Priradenie k predmetu je súčasťou študijného plánu (viď tabuľka vyššie).</w:t>
      </w:r>
    </w:p>
    <w:p>
      <w:pPr>
        <w:pStyle w:val="ListParagraph"/>
        <w:spacing w:lineRule="auto" w:line="240" w:before="0" w:after="0"/>
        <w:ind w:left="360" w:hanging="0"/>
        <w:contextualSpacing/>
        <w:rPr>
          <w:rFonts w:cs="Calibri" w:cstheme="minorHAnsi"/>
          <w:sz w:val="16"/>
          <w:szCs w:val="16"/>
        </w:rPr>
      </w:pPr>
      <w:r>
        <w:rPr>
          <w:rFonts w:cs="Calibri" w:cstheme="minorHAnsi"/>
          <w:sz w:val="16"/>
          <w:szCs w:val="16"/>
        </w:rPr>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Zoznam školiteľov záverečných prác s priradením k témam (s uvedením kontaktov).  </w:t>
      </w:r>
    </w:p>
    <w:p>
      <w:pPr>
        <w:pStyle w:val="ListParagraph"/>
        <w:numPr>
          <w:ilvl w:val="0"/>
          <w:numId w:val="4"/>
        </w:numPr>
        <w:spacing w:lineRule="auto" w:line="259" w:before="0" w:after="160"/>
        <w:contextualSpacing/>
        <w:rPr>
          <w:rFonts w:cs="Calibri" w:cstheme="minorHAnsi"/>
          <w:i/>
          <w:i/>
          <w:sz w:val="16"/>
          <w:szCs w:val="16"/>
        </w:rPr>
      </w:pPr>
      <w:r>
        <w:rPr>
          <w:rFonts w:cs="Calibri" w:cstheme="minorHAnsi"/>
          <w:b/>
          <w:i/>
          <w:sz w:val="16"/>
          <w:szCs w:val="16"/>
        </w:rPr>
        <w:t>dr. hab. Peter Kocák, PhD., akademický maliar</w:t>
      </w:r>
      <w:r>
        <w:rPr>
          <w:rFonts w:cs="Calibri" w:cstheme="minorHAnsi"/>
          <w:i/>
          <w:sz w:val="16"/>
          <w:szCs w:val="16"/>
        </w:rPr>
        <w:t xml:space="preserve">, </w:t>
      </w:r>
      <w:hyperlink r:id="rId31">
        <w:r>
          <w:rPr>
            <w:rStyle w:val="InternetLink"/>
            <w:rFonts w:cs="Calibri" w:cstheme="minorHAnsi"/>
            <w:i/>
            <w:sz w:val="16"/>
            <w:szCs w:val="16"/>
          </w:rPr>
          <w:t>peter.kocak@unipo.sk</w:t>
        </w:r>
      </w:hyperlink>
    </w:p>
    <w:p>
      <w:pPr>
        <w:pStyle w:val="ListParagraph"/>
        <w:spacing w:lineRule="auto" w:line="240" w:before="0" w:after="0"/>
        <w:ind w:left="360" w:hanging="0"/>
        <w:contextualSpacing/>
        <w:rPr>
          <w:rStyle w:val="Strong"/>
          <w:rFonts w:cs="Calibri" w:cstheme="minorHAnsi"/>
          <w:b w:val="false"/>
          <w:b w:val="false"/>
          <w:bCs w:val="false"/>
          <w:i/>
          <w:i/>
          <w:iCs/>
          <w:sz w:val="16"/>
          <w:szCs w:val="16"/>
        </w:rPr>
      </w:pPr>
      <w:r>
        <w:rPr>
          <w:rStyle w:val="Strong"/>
          <w:rFonts w:cs="Calibri" w:cstheme="minorHAnsi"/>
          <w:i/>
          <w:sz w:val="16"/>
          <w:szCs w:val="16"/>
        </w:rPr>
        <w:t>Martin Zbojan – Grafika</w:t>
      </w:r>
    </w:p>
    <w:p>
      <w:pPr>
        <w:pStyle w:val="ListParagraph"/>
        <w:spacing w:lineRule="auto" w:line="240" w:before="0" w:after="0"/>
        <w:ind w:left="360" w:hanging="0"/>
        <w:contextualSpacing/>
        <w:rPr>
          <w:rStyle w:val="Strong"/>
          <w:rFonts w:cs="Calibri" w:cstheme="minorHAnsi"/>
          <w:b w:val="false"/>
          <w:b w:val="false"/>
          <w:bCs w:val="false"/>
          <w:i/>
          <w:i/>
          <w:iCs/>
          <w:sz w:val="16"/>
          <w:szCs w:val="16"/>
        </w:rPr>
      </w:pPr>
      <w:r>
        <w:rPr>
          <w:rStyle w:val="Strong"/>
          <w:rFonts w:cs="Calibri" w:cstheme="minorHAnsi"/>
          <w:i/>
          <w:sz w:val="16"/>
          <w:szCs w:val="16"/>
        </w:rPr>
        <w:t>Katarína Smetanová, Ex libris v tvorbe umelkyne</w:t>
      </w:r>
    </w:p>
    <w:p>
      <w:pPr>
        <w:pStyle w:val="ListParagraph"/>
        <w:spacing w:lineRule="auto" w:line="240" w:before="0" w:after="0"/>
        <w:ind w:left="360" w:hanging="0"/>
        <w:contextualSpacing/>
        <w:rPr>
          <w:rStyle w:val="Strong"/>
          <w:rFonts w:cs="Calibri" w:cstheme="minorHAnsi"/>
          <w:b w:val="false"/>
          <w:b w:val="false"/>
          <w:bCs w:val="false"/>
          <w:i/>
          <w:i/>
          <w:iCs/>
          <w:sz w:val="16"/>
          <w:szCs w:val="16"/>
        </w:rPr>
      </w:pPr>
      <w:r>
        <w:rPr>
          <w:rStyle w:val="Strong"/>
          <w:rFonts w:cs="Calibri" w:cstheme="minorHAnsi"/>
          <w:i/>
          <w:sz w:val="16"/>
          <w:szCs w:val="16"/>
        </w:rPr>
        <w:t>DUŠAN SRVÁTKA – Kresba, ilustrácia a malá grafika</w:t>
      </w:r>
    </w:p>
    <w:p>
      <w:pPr>
        <w:pStyle w:val="ListParagraph"/>
        <w:spacing w:lineRule="auto" w:line="240" w:before="0" w:after="0"/>
        <w:ind w:left="360" w:hanging="0"/>
        <w:contextualSpacing/>
        <w:rPr>
          <w:rStyle w:val="Strong"/>
          <w:rFonts w:cs="Calibri" w:cstheme="minorHAnsi"/>
          <w:b w:val="false"/>
          <w:b w:val="false"/>
          <w:bCs w:val="false"/>
          <w:i/>
          <w:i/>
          <w:iCs/>
          <w:sz w:val="16"/>
          <w:szCs w:val="16"/>
        </w:rPr>
      </w:pPr>
      <w:r>
        <w:rPr>
          <w:rStyle w:val="Strong"/>
          <w:rFonts w:cs="Calibri" w:cstheme="minorHAnsi"/>
          <w:i/>
          <w:sz w:val="16"/>
          <w:szCs w:val="16"/>
        </w:rPr>
        <w:t>Východiská súčasnej slovenskej maľby strednej a nastupujúcej generácie</w:t>
      </w:r>
    </w:p>
    <w:p>
      <w:pPr>
        <w:pStyle w:val="ListParagraph"/>
        <w:ind w:left="360" w:hanging="0"/>
        <w:rPr>
          <w:rFonts w:cs="Calibri" w:cstheme="minorHAnsi"/>
          <w:i/>
          <w:i/>
          <w:sz w:val="16"/>
          <w:szCs w:val="16"/>
        </w:rPr>
      </w:pPr>
      <w:r>
        <w:rPr>
          <w:rFonts w:cs="Calibri" w:cstheme="minorHAnsi"/>
          <w:i/>
          <w:sz w:val="16"/>
          <w:szCs w:val="16"/>
        </w:rPr>
      </w:r>
    </w:p>
    <w:p>
      <w:pPr>
        <w:pStyle w:val="ListParagraph"/>
        <w:ind w:left="360" w:hanging="0"/>
        <w:rPr/>
      </w:pPr>
      <w:r>
        <w:rPr>
          <w:rFonts w:cs="Calibri" w:cstheme="minorHAnsi"/>
          <w:b/>
          <w:i/>
          <w:sz w:val="16"/>
          <w:szCs w:val="16"/>
        </w:rPr>
        <w:t>doc. Vladislav Grešlík, ArtD</w:t>
      </w:r>
      <w:r>
        <w:rPr>
          <w:rFonts w:cs="Calibri" w:cstheme="minorHAnsi"/>
          <w:i/>
          <w:sz w:val="16"/>
          <w:szCs w:val="16"/>
        </w:rPr>
        <w:t xml:space="preserve">., </w:t>
      </w:r>
      <w:hyperlink r:id="rId32">
        <w:r>
          <w:rPr>
            <w:rStyle w:val="InternetLink"/>
            <w:rFonts w:cs="Calibri" w:cstheme="minorHAnsi"/>
            <w:i/>
            <w:sz w:val="16"/>
            <w:szCs w:val="16"/>
          </w:rPr>
          <w:t>vladislav.grešlik@unipo.sk</w:t>
        </w:r>
      </w:hyperlink>
    </w:p>
    <w:p>
      <w:pPr>
        <w:pStyle w:val="ListParagraph"/>
        <w:spacing w:lineRule="auto" w:line="240" w:before="0" w:after="0"/>
        <w:contextualSpacing/>
        <w:rPr>
          <w:rStyle w:val="Strong"/>
          <w:b w:val="false"/>
          <w:b w:val="false"/>
          <w:bCs w:val="false"/>
          <w:i/>
          <w:i/>
          <w:iCs/>
          <w:color w:val="000000" w:themeColor="text1"/>
          <w:sz w:val="16"/>
          <w:szCs w:val="16"/>
        </w:rPr>
      </w:pPr>
      <w:r>
        <w:rPr>
          <w:rStyle w:val="Strong"/>
          <w:rFonts w:cs="Calibri" w:cstheme="minorHAnsi"/>
          <w:i/>
          <w:sz w:val="16"/>
          <w:szCs w:val="16"/>
        </w:rPr>
        <w:t>Maľba na Slovensku po roku 2000</w:t>
      </w:r>
    </w:p>
    <w:p>
      <w:pPr>
        <w:pStyle w:val="ListParagraph"/>
        <w:spacing w:lineRule="auto" w:line="240" w:before="0" w:after="0"/>
        <w:contextualSpacing/>
        <w:rPr>
          <w:i/>
          <w:i/>
          <w:iCs/>
          <w:color w:val="000000" w:themeColor="text1"/>
          <w:sz w:val="16"/>
          <w:szCs w:val="16"/>
        </w:rPr>
      </w:pPr>
      <w:r>
        <w:rPr>
          <w:rStyle w:val="Strong"/>
          <w:rFonts w:cs="Calibri" w:cstheme="minorHAnsi"/>
          <w:i/>
          <w:sz w:val="16"/>
          <w:szCs w:val="16"/>
        </w:rPr>
        <w:t>Tradičný ornament v tvorbe súčasných  dizajnérov</w:t>
      </w:r>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Gesto, gestikulácia a mimika v slovenskom  maliarstve po roku 1900</w:t>
      </w:r>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Prvky matematiky a geometrie vo výtvarnom umení po roku 1945 a ich využitie vo výtvarnej výchove</w:t>
      </w:r>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Súčasná kresba na východnom slovensku</w:t>
      </w:r>
    </w:p>
    <w:p>
      <w:pPr>
        <w:pStyle w:val="ListParagraph"/>
        <w:ind w:left="360" w:hanging="0"/>
        <w:rPr>
          <w:rFonts w:cs="Calibri" w:cstheme="minorHAnsi"/>
          <w:i/>
          <w:i/>
          <w:color w:val="0563C1" w:themeColor="hyperlink"/>
          <w:sz w:val="16"/>
          <w:szCs w:val="16"/>
          <w:u w:val="single"/>
        </w:rPr>
      </w:pPr>
      <w:r>
        <w:rPr>
          <w:rFonts w:cs="Calibri" w:cstheme="minorHAnsi"/>
          <w:i/>
          <w:color w:val="0563C1" w:themeColor="hyperlink"/>
          <w:sz w:val="16"/>
          <w:szCs w:val="16"/>
          <w:u w:val="single"/>
        </w:rPr>
      </w:r>
    </w:p>
    <w:p>
      <w:pPr>
        <w:pStyle w:val="ListParagraph"/>
        <w:ind w:left="360" w:hanging="0"/>
        <w:rPr>
          <w:rFonts w:cs="Calibri" w:cstheme="minorHAnsi"/>
          <w:i/>
          <w:i/>
          <w:sz w:val="16"/>
          <w:szCs w:val="16"/>
        </w:rPr>
      </w:pPr>
      <w:r>
        <w:rPr>
          <w:rFonts w:cs="Calibri" w:cstheme="minorHAnsi"/>
          <w:b/>
          <w:i/>
          <w:sz w:val="16"/>
          <w:szCs w:val="16"/>
        </w:rPr>
        <w:t>doc. Martin Zbojan,PhD., akademický maliar</w:t>
      </w:r>
      <w:r>
        <w:rPr>
          <w:rFonts w:cs="Calibri" w:cstheme="minorHAnsi"/>
          <w:i/>
          <w:sz w:val="16"/>
          <w:szCs w:val="16"/>
        </w:rPr>
        <w:t xml:space="preserve">,  </w:t>
      </w:r>
      <w:hyperlink r:id="rId33">
        <w:r>
          <w:rPr>
            <w:rStyle w:val="InternetLink"/>
            <w:rFonts w:cs="Calibri" w:cstheme="minorHAnsi"/>
            <w:i/>
            <w:sz w:val="16"/>
            <w:szCs w:val="16"/>
          </w:rPr>
          <w:t>martin.zbojan@unipo.sk</w:t>
        </w:r>
      </w:hyperlink>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Východiská súčasnej slovenskej maľby strednej a nastupujúcej generácie</w:t>
      </w:r>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Odraz francúzskeho moderného maliarstva v tvorbe Ester Martinčekovej – Šimerovej</w:t>
      </w:r>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Teoretické práce Charlesa Blanca a dielo Georgesa Seurata</w:t>
      </w:r>
    </w:p>
    <w:p>
      <w:pPr>
        <w:pStyle w:val="ListParagraph"/>
        <w:spacing w:lineRule="auto" w:line="240" w:before="0" w:after="0"/>
        <w:contextualSpacing/>
        <w:rPr>
          <w:rStyle w:val="Strong"/>
          <w:rFonts w:cs="Calibri" w:cstheme="minorHAnsi"/>
          <w:b w:val="false"/>
          <w:b w:val="false"/>
          <w:bCs w:val="false"/>
          <w:i/>
          <w:i/>
          <w:iCs/>
          <w:sz w:val="16"/>
          <w:szCs w:val="16"/>
        </w:rPr>
      </w:pPr>
      <w:r>
        <w:rPr>
          <w:rStyle w:val="Strong"/>
          <w:rFonts w:cs="Calibri" w:cstheme="minorHAnsi"/>
          <w:i/>
          <w:sz w:val="16"/>
          <w:szCs w:val="16"/>
        </w:rPr>
        <w:t>Mail art ako konceptual art</w:t>
      </w:r>
    </w:p>
    <w:p>
      <w:pPr>
        <w:pStyle w:val="ListParagraph"/>
        <w:spacing w:lineRule="auto" w:line="240" w:before="0" w:after="0"/>
        <w:contextualSpacing/>
        <w:rPr>
          <w:rStyle w:val="Strong"/>
          <w:rFonts w:cs="Calibri" w:cstheme="minorHAnsi"/>
          <w:b w:val="false"/>
          <w:b w:val="false"/>
          <w:i/>
          <w:i/>
          <w:sz w:val="16"/>
          <w:szCs w:val="16"/>
        </w:rPr>
      </w:pPr>
      <w:r>
        <w:rPr>
          <w:rStyle w:val="Strong"/>
          <w:rFonts w:cs="Calibri" w:cstheme="minorHAnsi"/>
          <w:i/>
          <w:sz w:val="16"/>
          <w:szCs w:val="16"/>
        </w:rPr>
        <w:t>Figurálny motív ako fenomén v súčasnej slovenskej maľbe</w:t>
      </w:r>
    </w:p>
    <w:p>
      <w:pPr>
        <w:pStyle w:val="ListParagraph"/>
        <w:spacing w:lineRule="auto" w:line="240" w:before="0" w:after="0"/>
        <w:contextualSpacing/>
        <w:rPr>
          <w:rFonts w:cs="Calibri" w:cstheme="minorHAnsi"/>
          <w:i/>
          <w:i/>
          <w:iCs/>
          <w:sz w:val="16"/>
          <w:szCs w:val="16"/>
        </w:rPr>
      </w:pPr>
      <w:r>
        <w:rPr>
          <w:rFonts w:cs="Calibri" w:cstheme="minorHAnsi"/>
          <w:i/>
          <w:iCs/>
          <w:sz w:val="16"/>
          <w:szCs w:val="16"/>
        </w:rPr>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Odkaz na vedecko/umelecko-pedagogické charakteristiky školiteľov záverečných prác. </w:t>
      </w:r>
    </w:p>
    <w:p>
      <w:pPr>
        <w:pStyle w:val="ListParagraph"/>
        <w:numPr>
          <w:ilvl w:val="0"/>
          <w:numId w:val="4"/>
        </w:numPr>
        <w:spacing w:lineRule="auto" w:line="259" w:before="0" w:after="160"/>
        <w:contextualSpacing/>
        <w:rPr>
          <w:rFonts w:cs="Calibri" w:cstheme="minorHAnsi"/>
          <w:i/>
          <w:i/>
          <w:sz w:val="16"/>
          <w:szCs w:val="16"/>
        </w:rPr>
      </w:pPr>
      <w:r>
        <w:rPr>
          <w:rFonts w:cs="Calibri" w:cstheme="minorHAnsi"/>
          <w:i/>
          <w:sz w:val="16"/>
          <w:szCs w:val="16"/>
        </w:rPr>
        <w:t xml:space="preserve">dr. hab. Peter Kocák, PhD., akademický maliar, </w:t>
      </w:r>
      <w:hyperlink r:id="rId34">
        <w:r>
          <w:rPr>
            <w:rStyle w:val="InternetLink"/>
            <w:rFonts w:cs="Calibri" w:cstheme="minorHAnsi"/>
            <w:i/>
            <w:sz w:val="16"/>
            <w:szCs w:val="16"/>
          </w:rPr>
          <w:t>peter.kocak@unipo.sk</w:t>
        </w:r>
      </w:hyperlink>
    </w:p>
    <w:p>
      <w:pPr>
        <w:pStyle w:val="ListParagraph"/>
        <w:ind w:left="360" w:hanging="0"/>
        <w:rPr/>
      </w:pPr>
      <w:r>
        <w:rPr>
          <w:rFonts w:cs="Calibri" w:cstheme="minorHAnsi"/>
          <w:i/>
          <w:sz w:val="16"/>
          <w:szCs w:val="16"/>
        </w:rPr>
        <w:t xml:space="preserve">doc. Vladislav Grešlík, ArtD., </w:t>
      </w:r>
      <w:hyperlink r:id="rId35">
        <w:r>
          <w:rPr>
            <w:rStyle w:val="InternetLink"/>
            <w:rFonts w:cs="Calibri" w:cstheme="minorHAnsi"/>
            <w:i/>
            <w:sz w:val="16"/>
            <w:szCs w:val="16"/>
          </w:rPr>
          <w:t>vladislav.grešlik@unipo.sk</w:t>
        </w:r>
      </w:hyperlink>
    </w:p>
    <w:p>
      <w:pPr>
        <w:pStyle w:val="ListParagraph"/>
        <w:ind w:left="360" w:hanging="0"/>
        <w:rPr>
          <w:rFonts w:cs="Calibri" w:cstheme="minorHAnsi"/>
          <w:i/>
          <w:i/>
          <w:sz w:val="16"/>
          <w:szCs w:val="16"/>
        </w:rPr>
      </w:pPr>
      <w:r>
        <w:rPr>
          <w:rFonts w:cs="Calibri" w:cstheme="minorHAnsi"/>
          <w:i/>
          <w:sz w:val="16"/>
          <w:szCs w:val="16"/>
        </w:rPr>
        <w:t xml:space="preserve">doc. Martin Zbojan,PhD., akademický maliar,  </w:t>
      </w:r>
      <w:hyperlink r:id="rId36">
        <w:r>
          <w:rPr>
            <w:rStyle w:val="InternetLink"/>
            <w:rFonts w:cs="Calibri" w:cstheme="minorHAnsi"/>
            <w:i/>
            <w:sz w:val="16"/>
            <w:szCs w:val="16"/>
          </w:rPr>
          <w:t>martin.zbojan@unipo.sk</w:t>
        </w:r>
      </w:hyperlink>
    </w:p>
    <w:p>
      <w:pPr>
        <w:pStyle w:val="ListParagraph"/>
        <w:ind w:left="360" w:hanging="0"/>
        <w:rPr>
          <w:rStyle w:val="InternetLink"/>
          <w:rFonts w:cs="Calibri" w:cstheme="minorHAnsi"/>
          <w:i/>
          <w:i/>
          <w:sz w:val="16"/>
          <w:szCs w:val="16"/>
        </w:rPr>
      </w:pPr>
      <w:r>
        <w:rPr>
          <w:rFonts w:cs="Calibri" w:cstheme="minorHAnsi"/>
          <w:i/>
          <w:sz w:val="16"/>
          <w:szCs w:val="16"/>
        </w:rPr>
        <w:t xml:space="preserve">Mgr. Jaroslav Ondo, PhD., </w:t>
      </w:r>
      <w:hyperlink r:id="rId37">
        <w:r>
          <w:rPr>
            <w:rStyle w:val="InternetLink"/>
            <w:rFonts w:cs="Calibri" w:cstheme="minorHAnsi"/>
            <w:i/>
            <w:sz w:val="16"/>
            <w:szCs w:val="16"/>
          </w:rPr>
          <w:t>jaroslav.ondo@unipo.sk</w:t>
        </w:r>
      </w:hyperlink>
      <w:r>
        <w:rPr>
          <w:rStyle w:val="InternetLink"/>
          <w:rFonts w:cs="Calibri" w:cstheme="minorHAnsi"/>
          <w:i/>
          <w:sz w:val="16"/>
          <w:szCs w:val="16"/>
        </w:rPr>
        <w:t xml:space="preserve"> </w:t>
      </w:r>
    </w:p>
    <w:p>
      <w:pPr>
        <w:pStyle w:val="ListParagraph"/>
        <w:ind w:left="360" w:hanging="0"/>
        <w:rPr>
          <w:rFonts w:cs="Calibri" w:cstheme="minorHAnsi"/>
          <w:i/>
          <w:i/>
          <w:sz w:val="16"/>
          <w:szCs w:val="16"/>
          <w:lang w:val="en-US"/>
        </w:rPr>
      </w:pPr>
      <w:r>
        <w:rPr>
          <w:rFonts w:cs="Calibri" w:cstheme="minorHAnsi"/>
          <w:i/>
          <w:sz w:val="16"/>
          <w:szCs w:val="16"/>
        </w:rPr>
        <w:t>Mgr. art. Adam Macko, ArtD. adam.macko</w:t>
      </w:r>
      <w:r>
        <w:rPr>
          <w:rFonts w:cs="Calibri" w:cstheme="minorHAnsi"/>
          <w:i/>
          <w:sz w:val="16"/>
          <w:szCs w:val="16"/>
          <w:lang w:val="en-US"/>
        </w:rPr>
        <w:t>@unipo.sk</w:t>
      </w:r>
    </w:p>
    <w:p>
      <w:pPr>
        <w:pStyle w:val="ListParagraph"/>
        <w:ind w:left="360" w:hanging="0"/>
        <w:rPr>
          <w:rFonts w:cs="Calibri" w:cstheme="minorHAnsi"/>
          <w:i/>
          <w:i/>
          <w:sz w:val="16"/>
          <w:szCs w:val="16"/>
        </w:rPr>
      </w:pPr>
      <w:r>
        <w:rPr>
          <w:rFonts w:cs="Calibri" w:cstheme="minorHAnsi"/>
          <w:i/>
          <w:sz w:val="16"/>
          <w:szCs w:val="16"/>
        </w:rPr>
        <w:t xml:space="preserve">Mgr. art. Vladimír Ganaj, ArtD., </w:t>
      </w:r>
      <w:hyperlink r:id="rId38">
        <w:r>
          <w:rPr>
            <w:rStyle w:val="InternetLink"/>
            <w:rFonts w:cs="Calibri" w:cstheme="minorHAnsi"/>
            <w:i/>
            <w:sz w:val="16"/>
            <w:szCs w:val="16"/>
          </w:rPr>
          <w:t>vladimir.ganaj@unipo.sk</w:t>
        </w:r>
      </w:hyperlink>
    </w:p>
    <w:p>
      <w:pPr>
        <w:pStyle w:val="ListParagraph"/>
        <w:ind w:left="360" w:hanging="0"/>
        <w:rPr>
          <w:rFonts w:cs="Calibri" w:cstheme="minorHAnsi"/>
          <w:i/>
          <w:i/>
          <w:sz w:val="16"/>
          <w:szCs w:val="16"/>
        </w:rPr>
      </w:pPr>
      <w:r>
        <w:rPr>
          <w:rFonts w:cs="Calibri" w:cstheme="minorHAnsi"/>
          <w:i/>
          <w:sz w:val="16"/>
          <w:szCs w:val="16"/>
        </w:rPr>
        <w:t>Mgr. art. Radka Baňacká</w:t>
      </w:r>
    </w:p>
    <w:p>
      <w:pPr>
        <w:pStyle w:val="ListParagraph"/>
        <w:ind w:left="360" w:hanging="0"/>
        <w:rPr>
          <w:rFonts w:cs="Calibri" w:cstheme="minorHAnsi"/>
          <w:i/>
          <w:i/>
          <w:sz w:val="16"/>
          <w:szCs w:val="16"/>
        </w:rPr>
      </w:pPr>
      <w:r>
        <w:rPr>
          <w:rFonts w:cs="Calibri" w:cstheme="minorHAnsi"/>
          <w:i/>
          <w:sz w:val="16"/>
          <w:szCs w:val="16"/>
        </w:rPr>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Zástupcovia študentov, ktorí zastupujú záujmy študentov študijného programu (meno a kontakt). </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Členovia senátu (študentská časť):</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Emma DZURJOVÁ PAVLOVÁ – emma.pavlova@smail.unipo.sk</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PhDr. Róbert KIRÁLY– robert.kiraly@smail.unipo.sk</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Bc. Pavol KLIMKO – pavol.klimko@smail.unipo.sk</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Bc. Kinga MÉSZÁROSOVÁ – kinga.meszarosova@smail.unipo.sk</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Bc. Kristína ORAVCOVÁ – kristina.oravcova@smail.unipo.sk</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Bc. Nikola PELOŽATOVÁ – nikola.pelozatova@smail.unipo.sk</w:t>
      </w:r>
    </w:p>
    <w:p>
      <w:pPr>
        <w:pStyle w:val="ListParagraph"/>
        <w:spacing w:lineRule="auto" w:line="240" w:before="0" w:after="0"/>
        <w:ind w:left="360" w:hanging="0"/>
        <w:contextualSpacing/>
        <w:rPr>
          <w:rFonts w:cs="Calibri" w:cstheme="minorHAnsi"/>
          <w:sz w:val="16"/>
          <w:szCs w:val="16"/>
        </w:rPr>
      </w:pPr>
      <w:r>
        <w:rPr>
          <w:rFonts w:cs="Calibri" w:cstheme="minorHAnsi"/>
          <w:sz w:val="16"/>
          <w:szCs w:val="16"/>
        </w:rPr>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Študijný poradca študijného programu (s uvedením kontaktu a s informáciou o prístupe k poradenstvu a o rozvrhu konzultácií).  </w:t>
      </w:r>
    </w:p>
    <w:p>
      <w:pPr>
        <w:pStyle w:val="ListParagraph"/>
        <w:ind w:left="360" w:hanging="0"/>
        <w:rPr>
          <w:rFonts w:cs="Calibri" w:cstheme="minorHAnsi"/>
          <w:i/>
          <w:i/>
          <w:iCs/>
          <w:color w:val="000000" w:themeColor="text1"/>
          <w:sz w:val="16"/>
          <w:szCs w:val="16"/>
        </w:rPr>
      </w:pPr>
      <w:r>
        <w:rPr>
          <w:rFonts w:cs="Calibri" w:cstheme="minorHAnsi"/>
          <w:sz w:val="16"/>
          <w:szCs w:val="16"/>
        </w:rPr>
        <w:t xml:space="preserve">Mgr. Jaroslav Ondo, PhD., </w:t>
      </w:r>
      <w:hyperlink r:id="rId39">
        <w:r>
          <w:rPr>
            <w:rStyle w:val="InternetLink"/>
            <w:rFonts w:cs="Calibri" w:cstheme="minorHAnsi"/>
            <w:i/>
            <w:sz w:val="16"/>
            <w:szCs w:val="16"/>
          </w:rPr>
          <w:t>jaroslav.ondo@unipo.sk</w:t>
        </w:r>
      </w:hyperlink>
      <w:r>
        <w:rPr>
          <w:rStyle w:val="InternetLink"/>
          <w:rFonts w:cs="Calibri" w:cstheme="minorHAnsi"/>
          <w:i/>
          <w:sz w:val="16"/>
          <w:szCs w:val="16"/>
        </w:rPr>
        <w:t xml:space="preserve"> </w:t>
      </w:r>
      <w:r>
        <w:rPr>
          <w:rFonts w:cs="Calibri" w:cstheme="minorHAnsi"/>
          <w:sz w:val="16"/>
          <w:szCs w:val="16"/>
        </w:rPr>
        <w:t xml:space="preserve"> tútor magisterského stupňa, </w:t>
      </w:r>
      <w:r>
        <w:rPr>
          <w:rFonts w:cs="Calibri" w:cstheme="minorHAnsi"/>
          <w:i/>
          <w:sz w:val="16"/>
          <w:szCs w:val="16"/>
        </w:rPr>
        <w:t xml:space="preserve"> </w:t>
      </w:r>
      <w:r>
        <w:rPr>
          <w:rFonts w:cs="Calibri" w:cstheme="minorHAnsi"/>
          <w:i/>
          <w:iCs/>
          <w:color w:val="000000" w:themeColor="text1"/>
          <w:sz w:val="16"/>
          <w:szCs w:val="16"/>
        </w:rPr>
        <w:t xml:space="preserve">rozvrh a kontakt je zverejnený na webovej stránke inštitútu:    </w:t>
      </w:r>
      <w:hyperlink r:id="rId40">
        <w:r>
          <w:rPr>
            <w:rStyle w:val="InternetLink"/>
            <w:rFonts w:cs="Calibri" w:cstheme="minorHAnsi"/>
            <w:i/>
            <w:iCs/>
            <w:sz w:val="16"/>
            <w:szCs w:val="16"/>
          </w:rPr>
          <w:t>https://www.unipo.sk/filozoficka-fakulta/ihvu/kvvau</w:t>
        </w:r>
      </w:hyperlink>
    </w:p>
    <w:p>
      <w:pPr>
        <w:pStyle w:val="ListParagraph"/>
        <w:ind w:left="360" w:hanging="0"/>
        <w:rPr>
          <w:rFonts w:cs="Calibri" w:cstheme="minorHAnsi"/>
          <w:sz w:val="16"/>
          <w:szCs w:val="16"/>
        </w:rPr>
      </w:pPr>
      <w:r>
        <w:rPr>
          <w:rFonts w:cs="Calibri" w:cstheme="minorHAnsi"/>
          <w:sz w:val="16"/>
          <w:szCs w:val="16"/>
        </w:rPr>
      </w:r>
    </w:p>
    <w:p>
      <w:pPr>
        <w:pStyle w:val="ListParagraph"/>
        <w:numPr>
          <w:ilvl w:val="0"/>
          <w:numId w:val="4"/>
        </w:numPr>
        <w:spacing w:lineRule="auto" w:line="240" w:before="0" w:after="0"/>
        <w:contextualSpacing/>
        <w:rPr>
          <w:rFonts w:cs="Calibri" w:cstheme="minorHAnsi"/>
          <w:sz w:val="16"/>
          <w:szCs w:val="16"/>
        </w:rPr>
      </w:pPr>
      <w:r>
        <w:rPr>
          <w:rFonts w:cs="Calibri" w:cstheme="minorHAnsi"/>
          <w:sz w:val="16"/>
          <w:szCs w:val="16"/>
        </w:rPr>
        <w:t xml:space="preserve">Iný podporný personál študijného programu – priradený študijný referent, kariérny poradca, administratíva, ubytovací referát a podobne (s kontaktami). </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Podporný personál pre študentov pozostáva z Útvaru pre vzdelávanie a doktorandské štúdium:</w:t>
        <w:br/>
        <w:t>Mgr. Katarína MIKITOVÁ, vedúca útvaru - tel. </w:t>
      </w:r>
      <w:hyperlink r:id="rId41">
        <w:r>
          <w:rPr>
            <w:rFonts w:cs="Calibri" w:cstheme="minorHAnsi"/>
            <w:i/>
            <w:iCs/>
            <w:color w:val="000000" w:themeColor="text1"/>
            <w:sz w:val="16"/>
            <w:szCs w:val="16"/>
          </w:rPr>
          <w:t>051/7570 834</w:t>
        </w:r>
      </w:hyperlink>
      <w:r>
        <w:rPr>
          <w:rFonts w:cs="Calibri" w:cstheme="minorHAnsi"/>
          <w:i/>
          <w:iCs/>
          <w:color w:val="000000" w:themeColor="text1"/>
          <w:sz w:val="16"/>
          <w:szCs w:val="16"/>
        </w:rPr>
        <w:t> - </w:t>
      </w:r>
      <w:hyperlink r:id="rId42">
        <w:r>
          <w:rPr>
            <w:rFonts w:cs="Calibri" w:cstheme="minorHAnsi"/>
            <w:i/>
            <w:iCs/>
            <w:color w:val="000000" w:themeColor="text1"/>
            <w:sz w:val="16"/>
            <w:szCs w:val="16"/>
          </w:rPr>
          <w:t>katarina.mikitova@unipo.sk</w:t>
        </w:r>
      </w:hyperlink>
      <w:r>
        <w:rPr>
          <w:rFonts w:cs="Calibri" w:cstheme="minorHAnsi"/>
          <w:i/>
          <w:iCs/>
          <w:color w:val="000000" w:themeColor="text1"/>
          <w:sz w:val="16"/>
          <w:szCs w:val="16"/>
        </w:rPr>
        <w:br/>
        <w:t>Mgr. Katarína PAVLÍKOVÁ - tel. </w:t>
      </w:r>
      <w:hyperlink r:id="rId43">
        <w:r>
          <w:rPr>
            <w:rFonts w:cs="Calibri" w:cstheme="minorHAnsi"/>
            <w:i/>
            <w:iCs/>
            <w:color w:val="000000" w:themeColor="text1"/>
            <w:sz w:val="16"/>
            <w:szCs w:val="16"/>
          </w:rPr>
          <w:t>051/7570164</w:t>
        </w:r>
      </w:hyperlink>
      <w:r>
        <w:rPr>
          <w:rFonts w:cs="Calibri" w:cstheme="minorHAnsi"/>
          <w:i/>
          <w:iCs/>
          <w:color w:val="000000" w:themeColor="text1"/>
          <w:sz w:val="16"/>
          <w:szCs w:val="16"/>
        </w:rPr>
        <w:t> - </w:t>
      </w:r>
      <w:hyperlink r:id="rId44">
        <w:r>
          <w:rPr>
            <w:rFonts w:cs="Calibri" w:cstheme="minorHAnsi"/>
            <w:i/>
            <w:iCs/>
            <w:color w:val="000000" w:themeColor="text1"/>
            <w:sz w:val="16"/>
            <w:szCs w:val="16"/>
          </w:rPr>
          <w:t>katarina.pavlikova@unipo.sk</w:t>
        </w:r>
      </w:hyperlink>
      <w:r>
        <w:rPr>
          <w:rFonts w:cs="Calibri" w:cstheme="minorHAnsi"/>
          <w:i/>
          <w:iCs/>
          <w:color w:val="000000" w:themeColor="text1"/>
          <w:sz w:val="16"/>
          <w:szCs w:val="16"/>
        </w:rPr>
        <w:br/>
        <w:t>Mgr. Katarína KUŽMOVÁ - tel. </w:t>
      </w:r>
      <w:hyperlink r:id="rId45">
        <w:r>
          <w:rPr>
            <w:rFonts w:cs="Calibri" w:cstheme="minorHAnsi"/>
            <w:i/>
            <w:iCs/>
            <w:color w:val="000000" w:themeColor="text1"/>
            <w:sz w:val="16"/>
            <w:szCs w:val="16"/>
          </w:rPr>
          <w:t>051/7570 172</w:t>
        </w:r>
      </w:hyperlink>
      <w:r>
        <w:rPr>
          <w:rFonts w:cs="Calibri" w:cstheme="minorHAnsi"/>
          <w:i/>
          <w:iCs/>
          <w:color w:val="000000" w:themeColor="text1"/>
          <w:sz w:val="16"/>
          <w:szCs w:val="16"/>
        </w:rPr>
        <w:t> - </w:t>
      </w:r>
      <w:hyperlink r:id="rId46">
        <w:r>
          <w:rPr>
            <w:rFonts w:cs="Calibri" w:cstheme="minorHAnsi"/>
            <w:i/>
            <w:iCs/>
            <w:color w:val="000000" w:themeColor="text1"/>
            <w:sz w:val="16"/>
            <w:szCs w:val="16"/>
          </w:rPr>
          <w:t>katarina.kuzmova@unipo.sk</w:t>
        </w:r>
      </w:hyperlink>
      <w:r>
        <w:rPr>
          <w:rFonts w:cs="Calibri" w:cstheme="minorHAnsi"/>
          <w:i/>
          <w:iCs/>
          <w:color w:val="000000" w:themeColor="text1"/>
          <w:sz w:val="16"/>
          <w:szCs w:val="16"/>
        </w:rPr>
        <w:br/>
        <w:t>Mgr. Anna ZÁMBORSKÁ - tel. </w:t>
      </w:r>
      <w:hyperlink r:id="rId47">
        <w:r>
          <w:rPr>
            <w:rFonts w:cs="Calibri" w:cstheme="minorHAnsi"/>
            <w:i/>
            <w:iCs/>
            <w:color w:val="000000" w:themeColor="text1"/>
            <w:sz w:val="16"/>
            <w:szCs w:val="16"/>
          </w:rPr>
          <w:t>051/7570 169</w:t>
        </w:r>
      </w:hyperlink>
      <w:r>
        <w:rPr>
          <w:rFonts w:cs="Calibri" w:cstheme="minorHAnsi"/>
          <w:i/>
          <w:iCs/>
          <w:color w:val="000000" w:themeColor="text1"/>
          <w:sz w:val="16"/>
          <w:szCs w:val="16"/>
        </w:rPr>
        <w:t> - </w:t>
      </w:r>
      <w:hyperlink r:id="rId48">
        <w:r>
          <w:rPr>
            <w:rFonts w:cs="Calibri" w:cstheme="minorHAnsi"/>
            <w:i/>
            <w:iCs/>
            <w:color w:val="000000" w:themeColor="text1"/>
            <w:sz w:val="16"/>
            <w:szCs w:val="16"/>
          </w:rPr>
          <w:t>anna.zamborska@unipo.sk</w:t>
        </w:r>
      </w:hyperlink>
      <w:r>
        <w:rPr>
          <w:rFonts w:cs="Calibri" w:cstheme="minorHAnsi"/>
          <w:i/>
          <w:iCs/>
          <w:color w:val="000000" w:themeColor="text1"/>
          <w:sz w:val="16"/>
          <w:szCs w:val="16"/>
        </w:rPr>
        <w:br/>
        <w:t>Mgr. Martina MUCHOVÁ, PhD. (doktorandské štúdium a rigorózne konanie)- tel. </w:t>
      </w:r>
      <w:hyperlink r:id="rId49">
        <w:r>
          <w:rPr>
            <w:rFonts w:cs="Calibri" w:cstheme="minorHAnsi"/>
            <w:i/>
            <w:iCs/>
            <w:color w:val="000000" w:themeColor="text1"/>
            <w:sz w:val="16"/>
            <w:szCs w:val="16"/>
          </w:rPr>
          <w:t>051/7570830</w:t>
        </w:r>
      </w:hyperlink>
      <w:r>
        <w:rPr>
          <w:rFonts w:cs="Calibri" w:cstheme="minorHAnsi"/>
          <w:i/>
          <w:iCs/>
          <w:color w:val="000000" w:themeColor="text1"/>
          <w:sz w:val="16"/>
          <w:szCs w:val="16"/>
        </w:rPr>
        <w:t> - </w:t>
      </w:r>
      <w:hyperlink r:id="rId50">
        <w:r>
          <w:rPr>
            <w:rFonts w:cs="Calibri" w:cstheme="minorHAnsi"/>
            <w:i/>
            <w:iCs/>
            <w:color w:val="000000" w:themeColor="text1"/>
            <w:sz w:val="16"/>
            <w:szCs w:val="16"/>
          </w:rPr>
          <w:t>martina.muchova@unipo.sk</w:t>
        </w:r>
      </w:hyperlink>
    </w:p>
    <w:p>
      <w:pPr>
        <w:pStyle w:val="ListParagraph"/>
        <w:spacing w:lineRule="auto" w:line="240" w:before="0" w:after="0"/>
        <w:ind w:left="360" w:hanging="0"/>
        <w:contextualSpacing/>
        <w:rPr>
          <w:b/>
          <w:b/>
          <w:bCs/>
          <w:color w:val="000000" w:themeColor="text1"/>
          <w:sz w:val="16"/>
          <w:szCs w:val="16"/>
        </w:rPr>
      </w:pPr>
      <w:r>
        <w:rPr>
          <w:b/>
          <w:bCs/>
          <w:color w:val="000000" w:themeColor="text1"/>
          <w:sz w:val="16"/>
          <w:szCs w:val="16"/>
        </w:rPr>
      </w:r>
    </w:p>
    <w:p>
      <w:pPr>
        <w:pStyle w:val="ListParagraph"/>
        <w:numPr>
          <w:ilvl w:val="0"/>
          <w:numId w:val="1"/>
        </w:numPr>
        <w:spacing w:lineRule="auto" w:line="240" w:before="0" w:after="0"/>
        <w:contextualSpacing/>
        <w:rPr>
          <w:b/>
          <w:b/>
          <w:bCs/>
          <w:color w:val="000000" w:themeColor="text1"/>
          <w:sz w:val="16"/>
          <w:szCs w:val="16"/>
        </w:rPr>
      </w:pPr>
      <w:r>
        <w:rPr>
          <w:b/>
          <w:bCs/>
          <w:color w:val="000000" w:themeColor="text1"/>
          <w:sz w:val="16"/>
          <w:szCs w:val="16"/>
        </w:rPr>
        <w:t>Priestorové, materiálne a technické zabezpečenie študijného programu a podpora</w:t>
      </w:r>
    </w:p>
    <w:p>
      <w:pPr>
        <w:pStyle w:val="ListParagraph"/>
        <w:numPr>
          <w:ilvl w:val="0"/>
          <w:numId w:val="15"/>
        </w:numPr>
        <w:spacing w:lineRule="auto" w:line="240" w:before="0" w:after="0"/>
        <w:contextualSpacing/>
        <w:jc w:val="both"/>
        <w:rPr>
          <w:color w:val="000000" w:themeColor="text1"/>
          <w:sz w:val="16"/>
          <w:szCs w:val="16"/>
        </w:rPr>
      </w:pPr>
      <w:r>
        <w:rPr>
          <w:color w:val="000000" w:themeColor="text1"/>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Prešovská univerzita v Prešove zabezpečuje činnosť jednotlivých súčastí univerzity vo vlastných priestoroch alebo v priestoroch prenajatých. Filozofická fakulta je situovaná v najväčšom objekte univerzity, a to vo Vysokoškolskom areáli na Ul.17.novembra 1, Prešov. Celý komplex budov sa skladá z piatich navzájom prepojených častí v ktorých prebieha výučba a zázemie fakúlt, prednáškové sály, poslucháreň a odborné pracoviská. Objekt zabezpečuje všetku činnosť potrebnú pre zabezpečenie kvalitnej výučby jednotlivých programov. Celková úžitková plocha objektu je 25 060 m</w:t>
      </w:r>
      <w:r>
        <w:rPr>
          <w:rFonts w:eastAsia="Calibri" w:cs="Calibri"/>
          <w:i/>
          <w:iCs/>
          <w:color w:val="000000" w:themeColor="text1"/>
          <w:sz w:val="16"/>
          <w:szCs w:val="16"/>
          <w:vertAlign w:val="superscript"/>
        </w:rPr>
        <w:t>2</w:t>
      </w:r>
      <w:r>
        <w:rPr>
          <w:rFonts w:eastAsia="Calibri" w:cs="Calibri"/>
          <w:i/>
          <w:iCs/>
          <w:color w:val="000000" w:themeColor="text1"/>
          <w:sz w:val="16"/>
          <w:szCs w:val="16"/>
        </w:rPr>
        <w:t>. Jedná sa o objekt postavený v 80-tých rokoch min. storočia, priestory sa priebežne opravuje pre potreby študijných odborov a fakúlt. V objekte sa nachádzajú laboratória a centrá excelentnosti pre vedu a výskum.</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Gbit/s, ale sú pripravené aj na zavedenie rýchlosti 10 Gbit/s v budúcnosti. V rokoch 2017 až 2020 na univerzite prebehla kompletná výmena a rekonštrukcia centrálne riadenej WiFi siete v hodnote 154 000 EUR, bolo nainštalovaných celkovo 298 nových prístupových bodov vo všetkých objektoch.</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V súčasnosti na PU je k dispozícii viac než 2880 osobných počítačov, 98 serverov, takmer 1000 tlačiarní, 300 dataprojektorov, 20 interaktívnych tabúľ, ktoré majú vyučujúci k dispozícii.</w:t>
      </w:r>
    </w:p>
    <w:p>
      <w:pPr>
        <w:pStyle w:val="Normal"/>
        <w:ind w:left="348" w:hanging="0"/>
        <w:jc w:val="both"/>
        <w:rPr>
          <w:rFonts w:eastAsia="Calibri" w:cs="Calibri"/>
          <w:i/>
          <w:i/>
          <w:iCs/>
          <w:color w:val="000000" w:themeColor="text1"/>
          <w:sz w:val="16"/>
          <w:szCs w:val="16"/>
        </w:rPr>
      </w:pPr>
      <w:r>
        <w:rPr>
          <w:rFonts w:cs="Calibri" w:cstheme="minorHAnsi"/>
          <w:i/>
          <w:color w:val="000000" w:themeColor="text1"/>
          <w:sz w:val="16"/>
          <w:szCs w:val="16"/>
        </w:rPr>
        <w:t xml:space="preserve">Výučba všetkých predmetov študijného programu na Inštitúte hudobného a výtvarného umenia prebieha v priestoroch FF PU vybavených  na zodpovedajúcej úrovni potrebnej na výučbu jednotlivých disciplín. V prednáškových a v seminárnych miestnostiach sú  umiestnené počítače s dataprojektormi a vysokorýchlostným pripojením na internet, čo  umožňuje poskytnutie moderných foriem prezentácií odbornej problematiky. </w:t>
      </w:r>
      <w:r>
        <w:rPr>
          <w:rFonts w:eastAsia="Calibri" w:cs="Calibri"/>
          <w:i/>
          <w:iCs/>
          <w:color w:val="000000" w:themeColor="text1"/>
          <w:sz w:val="16"/>
          <w:szCs w:val="16"/>
        </w:rPr>
        <w:t>V rámci inštitútu je k dispozícii odborná učebňa s počítačom napojeným na vysokorýchlostný internet, s dataprojektorom a s interaktívnou tabuľou. . Katedra výtvarnej výchovy a umenia disponuje počítačovou miestnosťou, ktorá je vybavená počítačmi s potrebnými výtvarnými programami, fotokomorou a animačnou miestnosťou. Pre výučbu profilových predmetov študenti katedry využívajú</w:t>
      </w:r>
      <w:r>
        <w:rPr>
          <w:rFonts w:cs="Calibri" w:cstheme="minorHAnsi"/>
          <w:i/>
          <w:color w:val="000000" w:themeColor="text1"/>
          <w:sz w:val="16"/>
          <w:szCs w:val="16"/>
        </w:rPr>
        <w:t>: maliarsky ateliér, sochársky ateliér, keramickú  a stolárska dielňu, dielňu pre textilnú tvorbu a  grafická dielňa. Vo všetkých  uvedených priestoroch je základné technické vybavenie.</w:t>
      </w:r>
      <w:r>
        <w:rPr>
          <w:rFonts w:eastAsia="Calibri" w:cs="Calibri"/>
          <w:i/>
          <w:iCs/>
          <w:color w:val="000000" w:themeColor="text1"/>
          <w:sz w:val="16"/>
          <w:szCs w:val="16"/>
        </w:rPr>
        <w:t xml:space="preserve">  Študenti majú možnosť využívať aj Univerzitnú knižnicu, ktorá poskytuje širokú škálu služieb: výpožičky kníh, študovňu so širokou ponukou odborných časopisov, medziknižničnú výpožičnú službu, prístup k medzinárodným elektronickým bibliografickým</w:t>
      </w:r>
      <w:r>
        <w:rPr>
          <w:rFonts w:cs="Calibri" w:cstheme="minorHAnsi"/>
          <w:i/>
          <w:color w:val="000000" w:themeColor="text1"/>
          <w:sz w:val="16"/>
          <w:szCs w:val="16"/>
        </w:rPr>
        <w:t xml:space="preserve"> databázam, rešeršnú činnosť, počítačové  vybavenie na využívanie Internetu.</w:t>
      </w:r>
    </w:p>
    <w:p>
      <w:pPr>
        <w:pStyle w:val="ListParagraph"/>
        <w:numPr>
          <w:ilvl w:val="0"/>
          <w:numId w:val="15"/>
        </w:numPr>
        <w:spacing w:lineRule="auto" w:line="240" w:before="0" w:after="0"/>
        <w:contextualSpacing/>
        <w:jc w:val="both"/>
        <w:rPr>
          <w:color w:val="000000" w:themeColor="text1"/>
          <w:sz w:val="16"/>
          <w:szCs w:val="16"/>
        </w:rPr>
      </w:pPr>
      <w:r>
        <w:rPr>
          <w:color w:val="000000" w:themeColor="text1"/>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kn. j. a 250 titulov periodík, pričom nákup dokumentov je realizovaný na základe požiadaviek fakúlt s cieľom rovnomerného nákupu pre potreby všetkých študijných programov na PU). Od roku 2004 knižnica buduje Digitálnu knižnicu (databázu elektronických plnotextových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(PULIBnet) so 4 servermi, 84 počítačmi, z toho pre používateľov je vyhradených 45 počítačov. Každoročne vydáva bibliografiu publikačnej činnosti PU. Knižnica poskytuje prístup do 9 platených plnotextových databázových centier (EBSCO, Gale, ProQuest, Science Direct, Scopus, Springer, Taylor and Francis, Web of Knowledge, Wiley).</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Informačný systém pre riadenie štúdia MAIS poskytuje podporu celého životného cyklu štúdia. MAIS je určený najmä pre: spracovanie a evidenciu prijímacieho konania, spracovanie a evidenciu štúdia, spracovanie študijných programov, spracovanie rozvrhu hodín.</w:t>
      </w:r>
    </w:p>
    <w:p>
      <w:pPr>
        <w:pStyle w:val="Normal"/>
        <w:spacing w:lineRule="auto" w:line="216"/>
        <w:ind w:left="360" w:hanging="0"/>
        <w:jc w:val="both"/>
        <w:rPr>
          <w:rFonts w:eastAsia="Calibri" w:cs="Calibri"/>
          <w:i/>
          <w:i/>
          <w:iCs/>
          <w:color w:val="000000" w:themeColor="text1"/>
          <w:sz w:val="16"/>
          <w:szCs w:val="16"/>
        </w:rPr>
      </w:pPr>
      <w:r>
        <w:rPr>
          <w:rFonts w:eastAsia="Calibri" w:cs="Calibri"/>
          <w:i/>
          <w:iCs/>
          <w:color w:val="000000" w:themeColor="text1"/>
          <w:sz w:val="16"/>
          <w:szCs w:val="16"/>
        </w:rPr>
        <w:t>PU má prenajatú multilicenciu štatistického softvéru Statistica. Oprávnenými užívateľmi licencie sú všetci učitelia, študenti a zamestnanci univerzity.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pPr>
        <w:pStyle w:val="ListParagraph"/>
        <w:numPr>
          <w:ilvl w:val="0"/>
          <w:numId w:val="15"/>
        </w:numPr>
        <w:spacing w:lineRule="auto" w:line="240" w:before="0" w:after="0"/>
        <w:contextualSpacing/>
        <w:jc w:val="both"/>
        <w:rPr>
          <w:color w:val="000000" w:themeColor="text1"/>
          <w:sz w:val="16"/>
          <w:szCs w:val="16"/>
        </w:rPr>
      </w:pPr>
      <w:r>
        <w:rPr>
          <w:color w:val="000000" w:themeColor="text1"/>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pPr>
        <w:pStyle w:val="ListParagraph"/>
        <w:spacing w:lineRule="auto" w:line="216"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Prioritne je na dištančné vzdelávanie využívaný Office 365, najmä MS TEAMS a MS FORMS. Konto v Office 365 majú všetci zamestnanci a študenti PU. Prešovská univerzita v Prešove používa systém e-learning pre podporu výučby online vzdelávania aj v prostredí Moodle. Je dostupný na adrese </w:t>
      </w:r>
      <w:hyperlink r:id="rId51">
        <w:r>
          <w:rPr>
            <w:rStyle w:val="InternetLink"/>
            <w:rFonts w:eastAsia="Calibri" w:cs="Calibri"/>
            <w:i/>
            <w:iCs/>
            <w:color w:val="000000" w:themeColor="text1"/>
            <w:sz w:val="16"/>
            <w:szCs w:val="16"/>
          </w:rPr>
          <w:t>https://elearning.unipo.sk/</w:t>
        </w:r>
      </w:hyperlink>
      <w:r>
        <w:rPr>
          <w:rFonts w:eastAsia="Calibri" w:cs="Calibri"/>
          <w:i/>
          <w:iCs/>
          <w:color w:val="000000" w:themeColor="text1"/>
          <w:sz w:val="16"/>
          <w:szCs w:val="16"/>
        </w:rPr>
        <w:t xml:space="preserve"> a nachádzajú sa tam základné informácie, kurzy a príručky. Elektronický systém e-learning v prostredí Moodle je k dispozícii všetkým študentom, učiteľom a zamestnancom Prešovskej univerzity.</w:t>
      </w:r>
    </w:p>
    <w:p>
      <w:pPr>
        <w:pStyle w:val="ListParagraph"/>
        <w:spacing w:lineRule="auto" w:line="216"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r>
    </w:p>
    <w:p>
      <w:pPr>
        <w:pStyle w:val="ListParagraph"/>
        <w:numPr>
          <w:ilvl w:val="0"/>
          <w:numId w:val="15"/>
        </w:numPr>
        <w:spacing w:lineRule="auto" w:line="240" w:before="0" w:after="0"/>
        <w:contextualSpacing/>
        <w:jc w:val="both"/>
        <w:rPr>
          <w:color w:val="000000" w:themeColor="text1"/>
          <w:sz w:val="16"/>
          <w:szCs w:val="16"/>
        </w:rPr>
      </w:pPr>
      <w:r>
        <w:rPr>
          <w:color w:val="000000" w:themeColor="text1"/>
          <w:sz w:val="16"/>
          <w:szCs w:val="16"/>
        </w:rPr>
        <w:t xml:space="preserve">Partneri vysokej školy pri zabezpečovaní vzdelávacích činností študijného programu a charakteristika ich participácie. </w:t>
      </w:r>
    </w:p>
    <w:p>
      <w:pPr>
        <w:pStyle w:val="Normal"/>
        <w:spacing w:lineRule="auto" w:line="216" w:before="0" w:after="0"/>
        <w:ind w:left="426" w:hanging="0"/>
        <w:rPr>
          <w:rFonts w:eastAsia="Calibri" w:cs="Calibri"/>
          <w:i/>
          <w:i/>
          <w:iCs/>
          <w:color w:val="000000" w:themeColor="text1"/>
          <w:sz w:val="16"/>
          <w:szCs w:val="16"/>
        </w:rPr>
      </w:pPr>
      <w:r>
        <w:rPr>
          <w:rFonts w:eastAsia="Calibri" w:cs="Calibri"/>
          <w:i/>
          <w:iCs/>
          <w:color w:val="000000" w:themeColor="text1"/>
          <w:sz w:val="16"/>
          <w:szCs w:val="16"/>
        </w:rPr>
        <w:t>Univerzita má na základe zmlúv o spolupráci vytvorenú rozsiahlu sieť cvičných škôl zabezpečujúcich pedagogické praxe, praktickej prípravy a transferu výskumu, v ktorých študenti môže realizovať odbornú prax. Zoznam cvičných škôl je zverejnený a priebežne aktualizovaný. Inštitút AA disponuje aj samostatnými dohodami o spolupráci so školami, v rámci ktorej školy umožňujú študentom inštitútu realizovať terénne semináre (asistentská prax) a tiež pilotovanie výskumných zámerov študentov aj pedagógov.</w:t>
      </w:r>
    </w:p>
    <w:p>
      <w:pPr>
        <w:pStyle w:val="Normal"/>
        <w:spacing w:lineRule="auto" w:line="216" w:before="0" w:after="0"/>
        <w:ind w:left="426" w:hanging="0"/>
        <w:rPr>
          <w:rFonts w:eastAsia="Calibri" w:cs="Calibri"/>
          <w:i/>
          <w:i/>
          <w:iCs/>
          <w:color w:val="000000" w:themeColor="text1"/>
          <w:sz w:val="16"/>
          <w:szCs w:val="16"/>
        </w:rPr>
      </w:pPr>
      <w:r>
        <w:rPr>
          <w:rFonts w:eastAsia="Calibri" w:cs="Calibri"/>
          <w:i/>
          <w:iCs/>
          <w:color w:val="000000" w:themeColor="text1"/>
          <w:sz w:val="16"/>
          <w:szCs w:val="16"/>
        </w:rPr>
        <w:t xml:space="preserve">Odkaz na cvičné školy s udeleným štatútom Cvičný škola PU v Prešove: </w:t>
      </w:r>
      <w:hyperlink r:id="rId52">
        <w:r>
          <w:rPr>
            <w:rStyle w:val="InternetLink"/>
            <w:rFonts w:eastAsia="Calibri" w:cs="Calibri"/>
            <w:i/>
            <w:iCs/>
            <w:color w:val="000000" w:themeColor="text1"/>
            <w:sz w:val="16"/>
            <w:szCs w:val="16"/>
          </w:rPr>
          <w:t>https://www.unipo.sk/fakulta-humanitnych-prirodnych-vied/katedry/upap-fhpv/oppp/statut/</w:t>
        </w:r>
      </w:hyperlink>
    </w:p>
    <w:p>
      <w:pPr>
        <w:pStyle w:val="Normal"/>
        <w:spacing w:lineRule="auto" w:line="216" w:before="0" w:after="0"/>
        <w:ind w:left="426" w:hanging="0"/>
        <w:rPr>
          <w:rStyle w:val="InternetLink"/>
          <w:rFonts w:eastAsia="Calibri" w:cs="Calibri"/>
          <w:i/>
          <w:i/>
          <w:iCs/>
          <w:color w:val="000000" w:themeColor="text1"/>
          <w:sz w:val="16"/>
          <w:szCs w:val="16"/>
        </w:rPr>
      </w:pPr>
      <w:r>
        <w:rPr>
          <w:rFonts w:eastAsia="Calibri" w:cs="Calibri"/>
          <w:i/>
          <w:iCs/>
          <w:color w:val="000000" w:themeColor="text1"/>
          <w:sz w:val="16"/>
          <w:szCs w:val="16"/>
        </w:rPr>
        <w:t xml:space="preserve">Odkaz na škola so zmluvou o spolupráci: </w:t>
      </w:r>
      <w:hyperlink r:id="rId53">
        <w:r>
          <w:rPr>
            <w:rStyle w:val="InternetLink"/>
            <w:rFonts w:eastAsia="Calibri" w:cs="Calibri"/>
            <w:i/>
            <w:iCs/>
            <w:color w:val="000000" w:themeColor="text1"/>
            <w:sz w:val="16"/>
            <w:szCs w:val="16"/>
          </w:rPr>
          <w:t>https://www.unipo.sk/fakulta-humanitnych-prirodnych-vied/katedry/upap-fhpv/oppp/zoznam-skol/</w:t>
        </w:r>
      </w:hyperlink>
    </w:p>
    <w:p>
      <w:pPr>
        <w:pStyle w:val="Normal"/>
        <w:spacing w:lineRule="auto" w:line="216" w:before="0" w:after="0"/>
        <w:ind w:left="426" w:hanging="0"/>
        <w:rPr>
          <w:rFonts w:eastAsia="Calibri" w:cs="Calibri"/>
          <w:i/>
          <w:i/>
          <w:iCs/>
          <w:color w:val="000000" w:themeColor="text1"/>
          <w:sz w:val="16"/>
          <w:szCs w:val="16"/>
        </w:rPr>
      </w:pPr>
      <w:r>
        <w:rPr>
          <w:rFonts w:eastAsia="Calibri" w:cs="Calibri"/>
          <w:i/>
          <w:iCs/>
          <w:color w:val="000000" w:themeColor="text1"/>
          <w:sz w:val="16"/>
          <w:szCs w:val="16"/>
        </w:rPr>
      </w:r>
    </w:p>
    <w:p>
      <w:pPr>
        <w:pStyle w:val="ListParagraph"/>
        <w:numPr>
          <w:ilvl w:val="0"/>
          <w:numId w:val="15"/>
        </w:numPr>
        <w:spacing w:lineRule="auto" w:line="240" w:before="0" w:after="0"/>
        <w:contextualSpacing/>
        <w:jc w:val="both"/>
        <w:rPr>
          <w:color w:val="000000" w:themeColor="text1"/>
          <w:sz w:val="16"/>
          <w:szCs w:val="16"/>
        </w:rPr>
      </w:pPr>
      <w:r>
        <w:rPr>
          <w:color w:val="000000" w:themeColor="text1"/>
          <w:sz w:val="16"/>
          <w:szCs w:val="16"/>
        </w:rPr>
        <w:t xml:space="preserve">Charakteristika na možnosti sociálneho, športového, kultúrneho, duchovného a spoločenského vyžitia. </w:t>
      </w:r>
    </w:p>
    <w:p>
      <w:pPr>
        <w:pStyle w:val="Normal"/>
        <w:spacing w:lineRule="auto" w:line="216" w:before="0" w:after="0"/>
        <w:ind w:left="426" w:hanging="0"/>
        <w:rPr>
          <w:rFonts w:eastAsia="Calibri" w:cs="Calibri"/>
          <w:i/>
          <w:i/>
          <w:iCs/>
          <w:color w:val="000000" w:themeColor="text1"/>
          <w:sz w:val="16"/>
          <w:szCs w:val="16"/>
        </w:rPr>
      </w:pPr>
      <w:r>
        <w:rPr>
          <w:rFonts w:eastAsia="Calibri" w:cs="Calibri"/>
          <w:i/>
          <w:iCs/>
          <w:color w:val="000000" w:themeColor="text1"/>
          <w:sz w:val="16"/>
          <w:szCs w:val="16"/>
        </w:rPr>
        <w:t>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miniligu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Šporťáčik; pohybový program ProSenior a iné). Pri realizácií týchto aktivít FŠ organizačne spolupracuje so študentmi, Olympijským klubom Prešov a mestom Prešov.</w:t>
      </w:r>
    </w:p>
    <w:p>
      <w:pPr>
        <w:pStyle w:val="Normal"/>
        <w:spacing w:lineRule="auto" w:line="216" w:before="0" w:after="0"/>
        <w:ind w:left="426" w:hanging="0"/>
        <w:rPr>
          <w:rFonts w:eastAsia="Calibri" w:cs="Calibri"/>
          <w:color w:val="000000" w:themeColor="text1"/>
          <w:sz w:val="16"/>
          <w:szCs w:val="16"/>
        </w:rPr>
      </w:pPr>
      <w:r>
        <w:rPr>
          <w:rFonts w:eastAsia="Calibri" w:cs="Calibri"/>
          <w:color w:val="000000" w:themeColor="text1"/>
          <w:sz w:val="16"/>
          <w:szCs w:val="16"/>
        </w:rPr>
      </w:r>
    </w:p>
    <w:p>
      <w:pPr>
        <w:pStyle w:val="Normal"/>
        <w:spacing w:lineRule="auto" w:line="216" w:before="0" w:after="0"/>
        <w:ind w:left="426" w:hanging="0"/>
        <w:rPr>
          <w:rFonts w:eastAsia="Calibri" w:cs="Calibri"/>
          <w:i/>
          <w:i/>
          <w:iCs/>
          <w:color w:val="000000" w:themeColor="text1"/>
          <w:sz w:val="16"/>
          <w:szCs w:val="16"/>
        </w:rPr>
      </w:pPr>
      <w:r>
        <w:rPr>
          <w:rFonts w:eastAsia="Calibri" w:cs="Calibri"/>
          <w:i/>
          <w:iCs/>
          <w:color w:val="000000" w:themeColor="text1"/>
          <w:sz w:val="16"/>
          <w:szCs w:val="16"/>
        </w:rPr>
        <w:t>Na PU v Prešove pôsobí 11 umeleckých súborov ( 4 na Katedre hudby),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celouniverzitných a fakultných slávnostných podujatiach, reprezentujú a vytvárajú imidž univerzite v rámci mesta Prešov, Prešovského kraja, v celoštátnom aj medzinárodnom meradle.</w:t>
      </w:r>
    </w:p>
    <w:p>
      <w:pPr>
        <w:pStyle w:val="Normal"/>
        <w:spacing w:lineRule="auto" w:line="216" w:before="0" w:after="0"/>
        <w:ind w:left="426" w:hanging="0"/>
        <w:rPr>
          <w:rFonts w:eastAsia="Calibri" w:cs="Calibri"/>
          <w:color w:val="000000" w:themeColor="text1"/>
          <w:sz w:val="16"/>
          <w:szCs w:val="16"/>
        </w:rPr>
      </w:pPr>
      <w:r>
        <w:rPr>
          <w:rFonts w:eastAsia="Calibri" w:cs="Calibri"/>
          <w:color w:val="000000" w:themeColor="text1"/>
          <w:sz w:val="16"/>
          <w:szCs w:val="16"/>
        </w:rPr>
      </w:r>
    </w:p>
    <w:p>
      <w:pPr>
        <w:pStyle w:val="Normal"/>
        <w:spacing w:lineRule="auto" w:line="216"/>
        <w:ind w:left="294" w:hanging="0"/>
        <w:jc w:val="both"/>
        <w:rPr>
          <w:rFonts w:eastAsia="Calibri" w:cs="Calibri"/>
          <w:i/>
          <w:i/>
          <w:iCs/>
          <w:color w:val="000000" w:themeColor="text1"/>
          <w:sz w:val="16"/>
          <w:szCs w:val="16"/>
        </w:rPr>
      </w:pPr>
      <w:r>
        <w:rPr>
          <w:rFonts w:eastAsia="Calibri" w:cs="Calibri"/>
          <w:i/>
          <w:iCs/>
          <w:color w:val="000000" w:themeColor="text1"/>
          <w:sz w:val="16"/>
          <w:szCs w:val="16"/>
        </w:rPr>
        <w:t xml:space="preserve">   </w:t>
      </w:r>
      <w:r>
        <w:rPr>
          <w:rFonts w:eastAsia="Calibri" w:cs="Calibri"/>
          <w:i/>
          <w:iCs/>
          <w:color w:val="000000" w:themeColor="text1"/>
          <w:sz w:val="16"/>
          <w:szCs w:val="16"/>
        </w:rPr>
        <w:t xml:space="preserve">Univerzitné pastoračné centrum Dr. Štefana Héseka v Prešove (ďalej UPC) </w:t>
      </w:r>
      <w:hyperlink r:id="rId54">
        <w:r>
          <w:rPr>
            <w:rStyle w:val="InternetLink"/>
            <w:rFonts w:eastAsia="Calibri" w:cs="Calibri"/>
            <w:i/>
            <w:iCs/>
            <w:color w:val="000000" w:themeColor="text1"/>
            <w:sz w:val="16"/>
            <w:szCs w:val="16"/>
          </w:rPr>
          <w:t>http://upc.unipo.sk/</w:t>
        </w:r>
      </w:hyperlink>
      <w:r>
        <w:rPr>
          <w:rFonts w:eastAsia="Calibri" w:cs="Calibri"/>
          <w:i/>
          <w:iCs/>
          <w:color w:val="000000" w:themeColor="text1"/>
          <w:sz w:val="16"/>
          <w:szCs w:val="16"/>
        </w:rPr>
        <w:t xml:space="preserve"> je súčasťou celoslovenskej siete </w:t>
        <w:br/>
        <w:t xml:space="preserve">   univerzitných pastoračných centier. Jeho hlavnou úlohou je starostlivosť o duchovné potreby vysokoškolských študentov a pedagógov.</w:t>
      </w:r>
    </w:p>
    <w:p>
      <w:pPr>
        <w:pStyle w:val="ListParagraph"/>
        <w:numPr>
          <w:ilvl w:val="0"/>
          <w:numId w:val="15"/>
        </w:numPr>
        <w:spacing w:lineRule="auto" w:line="240" w:before="0" w:after="0"/>
        <w:contextualSpacing/>
        <w:jc w:val="both"/>
        <w:rPr>
          <w:color w:val="000000" w:themeColor="text1"/>
          <w:sz w:val="16"/>
          <w:szCs w:val="16"/>
        </w:rPr>
      </w:pPr>
      <w:r>
        <w:rPr>
          <w:color w:val="000000" w:themeColor="text1"/>
          <w:sz w:val="16"/>
          <w:szCs w:val="16"/>
        </w:rPr>
        <w:t xml:space="preserve">Možnosti a podmienky účasti študentov študijného programu na mobilitách a stážach (s uvedením kontaktov), pokyny na prihlasovanie, pravidlá uznávania tohto vzdelávania.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Erasmus+ mobility – podmienky: O grant na mobilitu sa môže uchádzať študent, ktorý 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 občanom inej krajiny, ktorý je študentom uceleného bakalárskeho, magisterského alebo doktorandského štúdia (zapísaným v danom akademickom roku) vysokoškolskej inštitúcie v Slovenskej republike, ktorej bola pridelená Erasmus charta (ECHE).</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interinštitucionálnych dohôd. Tieto informácie sú dostupné aj na webovom sídle fakulty v sekcii vonkajších vzťahov.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Študenti, ktorí sa chcú v rámci programu Erasmus+ zúčastniť študijného pobytu na zahraničnej univerzite musia predovšetkým spĺňať nasledujúce kritériá mobility študentov: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Mobility sa môžu zúčastniť študenti všetkých stupňov vysokoškolského štúdia (Bc., Mgr., Ing., PhD.)</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Študent musí byť riadne zapísaný na štúdium na Prešovskej univerzite v dennej forme štúdia.</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Grant je možné prideliť len študentovi, ktorý má ukončený 1. ročník vysokoškolského štúdia. Prihlásiť na mobilitu sa však môže už v 1. ročníku. Mobilita môže trvať min. 3 a max. 12 mesiacov. Študent sa môže zúčastniť Erasmus+ mobilít (študijný pobyt + stáž) v súhrnnej dĺžke 12 mesiacov v každom stupni štúdia.</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Povinnosti študenta, ktorý má záujem vycestovať na mobilitu: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Po podaní prihlášky na mobilitu (s priloženým Výpisom výsledkov štúdia a príp. aj motivačného listu) absolvuje test resp. pohovor. Študent je povinný na prijímajúcej inštitúcii si zvoliť predmety tak, aby celkovo získal min. 15 kreditov. Po prezretí webovej stránky príslušnej zahraničnej univerzity a oboznámení  s ponukou jej kurzov študent osobne prekonzultuje svoj výber a možné alternatívy absolvovania predmetov s inštitútovým koordinátorom (</w:t>
      </w:r>
      <w:r>
        <w:rPr>
          <w:rFonts w:cs="Calibri" w:cstheme="minorHAnsi"/>
          <w:sz w:val="16"/>
          <w:szCs w:val="16"/>
        </w:rPr>
        <w:t xml:space="preserve">Mgr. Jaroslav Ondo, PhD., </w:t>
      </w:r>
      <w:hyperlink r:id="rId55">
        <w:r>
          <w:rPr>
            <w:rStyle w:val="InternetLink"/>
            <w:rFonts w:cs="Calibri" w:cstheme="minorHAnsi"/>
            <w:i/>
            <w:sz w:val="16"/>
            <w:szCs w:val="16"/>
          </w:rPr>
          <w:t>jaroslav.ondo@unipo.sk</w:t>
        </w:r>
      </w:hyperlink>
      <w:r>
        <w:rPr>
          <w:rFonts w:eastAsia="Calibri" w:cs="Calibri"/>
          <w:i/>
          <w:iCs/>
          <w:color w:val="000000" w:themeColor="text1"/>
          <w:sz w:val="16"/>
          <w:szCs w:val="16"/>
        </w:rPr>
        <w:t xml:space="preserve"> - koordinátorom pre príslušný študijný program). Inštitútový koordinátor posudzuje zhodu, resp. podobnosť predmetov vybraných študentom na partnerskej inštitúcii so študijným odborom a študijným plánom na domácej fakulte. V prípade, že sa tak nestane a koordinátor študentovi podobnosť predmetov neodsúhlasí, predmety študentovi nebudú uznané ako povinné a povinne voliteľné (A a B blok predmetov v študijnom programe), ale len ako výberové predmety (C blok predmetov v študijnom programe). Študent spolu s koordinátorom pripraví  podkladový materiál (Formulár – Návrh uznania obsahu štúdia a predmetov absolvovaných v rámci mobility), v ktorom uvedie zoznam predmetov odporúčaného študijného programu a na základe podkladového materiálu vyplní Learning Agreement for Studies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inštitútovým koordinátorom. V prípade uznávania predmetu (absolvovaného v rámci mobility) ako alternatívneho k povinnému alebo povinne voliteľnému predmetu musí byť Dohoda o prenose kreditov podpísanú aj pedagógom, ktorý predmet zabezpečuje (prednáša/skúša).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Podmienky absolvovania predmetu na domácej inštitúcii: V prípade, že hosťujúca univerzita neponúka vhodný  alternatívny predmet k predmetu študijného programu Učiteľstvo anglického jazyka a literatúry,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Povinnosti a úlohy študenta v čase trvania mobility: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Ak nastane zmena v predmetoch uvedených v Learning Agreement, študent bezodkladne kontaktuje inštitútového koordinátora pre mobilitu a dohodne sa s ním na zmenách (použije tlačivo Zmeny k zmluve o štúdiu – Changes to Learning Agreement for Studies), pričom na novozapísané predmety je tiež nevyhnutné podpísať tlačivo Dohoda o prenose kreditov.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Povinnosti a úlohy študenta po návrate z mobility: Po návrate študent bezodkladne  kontaktuje fakultného ECTS koordinátora a odovzdá mu kópiu Zmluvy o štúdiu (aj so zmenami) a kópiu Výpisu o absolvovaní predmetov a výsledkoch (Transcript of Records).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Erasmus+ stáže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Realizovaná stáž v zahraničí bude študentovi plne uznaná použitím ECTS kreditov resp. Dodatkom k diplomu.</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Viac informácií o študijných mobilitách študentov je k dispozícii na webovom sídle Prešovskej univerzity: </w:t>
      </w:r>
      <w:hyperlink r:id="rId56">
        <w:r>
          <w:rPr>
            <w:rFonts w:eastAsia="Calibri" w:cs="Calibri"/>
            <w:i/>
            <w:iCs/>
            <w:color w:val="000000" w:themeColor="text1"/>
            <w:sz w:val="16"/>
            <w:szCs w:val="16"/>
          </w:rPr>
          <w:t>https://www.unipo.sk/zahranicie/erasmus/studium/</w:t>
        </w:r>
      </w:hyperlink>
      <w:r>
        <w:rPr>
          <w:rFonts w:eastAsia="Calibri" w:cs="Calibri"/>
          <w:i/>
          <w:iCs/>
          <w:color w:val="000000" w:themeColor="text1"/>
          <w:sz w:val="16"/>
          <w:szCs w:val="16"/>
        </w:rPr>
        <w:t xml:space="preserve"> a</w:t>
      </w:r>
    </w:p>
    <w:p>
      <w:pPr>
        <w:pStyle w:val="ListParagraph"/>
        <w:spacing w:lineRule="auto" w:line="240" w:before="0" w:after="0"/>
        <w:ind w:left="360" w:hanging="0"/>
        <w:contextualSpacing/>
        <w:jc w:val="both"/>
        <w:rPr>
          <w:rFonts w:eastAsia="Calibri" w:cs="Calibri"/>
          <w:i/>
          <w:i/>
          <w:iCs/>
          <w:color w:val="000000" w:themeColor="text1"/>
          <w:sz w:val="16"/>
          <w:szCs w:val="16"/>
        </w:rPr>
      </w:pPr>
      <w:hyperlink r:id="rId57">
        <w:r>
          <w:rPr>
            <w:rFonts w:eastAsia="Calibri" w:cs="Calibri"/>
            <w:i/>
            <w:iCs/>
            <w:color w:val="000000" w:themeColor="text1"/>
            <w:sz w:val="16"/>
            <w:szCs w:val="16"/>
          </w:rPr>
          <w:t>https://www.unipo.sk/zahranicie/erasmus/staze/</w:t>
        </w:r>
      </w:hyperlink>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r>
    </w:p>
    <w:p>
      <w:pPr>
        <w:pStyle w:val="ListParagraph"/>
        <w:numPr>
          <w:ilvl w:val="0"/>
          <w:numId w:val="1"/>
        </w:numPr>
        <w:spacing w:lineRule="auto" w:line="240" w:before="0" w:after="0"/>
        <w:contextualSpacing/>
        <w:rPr>
          <w:b/>
          <w:b/>
          <w:bCs/>
          <w:color w:val="000000" w:themeColor="text1"/>
          <w:sz w:val="16"/>
          <w:szCs w:val="16"/>
        </w:rPr>
      </w:pPr>
      <w:r>
        <w:rPr>
          <w:b/>
          <w:bCs/>
          <w:color w:val="000000" w:themeColor="text1"/>
          <w:sz w:val="16"/>
          <w:szCs w:val="16"/>
        </w:rPr>
        <w:t xml:space="preserve">Požadované schopnosti a predpoklady uchádzača o štúdium študijného programu </w:t>
      </w:r>
    </w:p>
    <w:p>
      <w:pPr>
        <w:pStyle w:val="ListParagraph"/>
        <w:numPr>
          <w:ilvl w:val="0"/>
          <w:numId w:val="16"/>
        </w:numPr>
        <w:spacing w:lineRule="auto" w:line="240" w:before="0" w:after="0"/>
        <w:contextualSpacing/>
        <w:rPr>
          <w:rFonts w:cs="Calibri" w:cstheme="minorHAnsi"/>
          <w:color w:val="000000" w:themeColor="text1"/>
          <w:sz w:val="16"/>
          <w:szCs w:val="16"/>
        </w:rPr>
      </w:pPr>
      <w:r>
        <w:rPr>
          <w:rFonts w:cs="Calibri" w:cstheme="minorHAnsi"/>
          <w:color w:val="000000" w:themeColor="text1"/>
          <w:sz w:val="16"/>
          <w:szCs w:val="16"/>
        </w:rPr>
        <w:t xml:space="preserve">Požadované schopnosti a predpoklady potrebné na prijatie na štúdium. </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Základnou podmienkou pre prijatie na štúdium podľa magisterských študijných programov (druhý stupeň vysokoškolského štúdia v zmysle § 53 zákona č. 131/2002 Z. z. o vysokých školách) je absolvovanie študijného programu prvého stupňa.</w:t>
      </w:r>
    </w:p>
    <w:p>
      <w:pPr>
        <w:pStyle w:val="ListParagraph"/>
        <w:numPr>
          <w:ilvl w:val="0"/>
          <w:numId w:val="16"/>
        </w:numPr>
        <w:spacing w:lineRule="auto" w:line="240" w:before="0" w:after="0"/>
        <w:contextualSpacing/>
        <w:rPr>
          <w:rFonts w:cs="Calibri" w:cstheme="minorHAnsi"/>
          <w:color w:val="000000" w:themeColor="text1"/>
          <w:sz w:val="16"/>
          <w:szCs w:val="16"/>
        </w:rPr>
      </w:pPr>
      <w:r>
        <w:rPr>
          <w:rFonts w:cs="Calibri" w:cstheme="minorHAnsi"/>
          <w:color w:val="000000" w:themeColor="text1"/>
          <w:sz w:val="16"/>
          <w:szCs w:val="16"/>
        </w:rPr>
        <w:t xml:space="preserve">Postupy prijímania na štúdium. </w:t>
      </w:r>
    </w:p>
    <w:p>
      <w:pPr>
        <w:pStyle w:val="Normal"/>
        <w:spacing w:lineRule="auto" w:line="240" w:before="0" w:after="0"/>
        <w:ind w:left="426" w:hanging="0"/>
        <w:jc w:val="both"/>
        <w:rPr>
          <w:rFonts w:cs="Calibri" w:cstheme="minorHAnsi"/>
          <w:i/>
          <w:i/>
          <w:sz w:val="16"/>
          <w:szCs w:val="16"/>
        </w:rPr>
      </w:pPr>
      <w:r>
        <w:rPr>
          <w:rFonts w:cs="Calibri" w:cstheme="minorHAnsi"/>
          <w:i/>
          <w:sz w:val="16"/>
          <w:szCs w:val="16"/>
        </w:rPr>
        <w:t xml:space="preserve">Fakulta na svojom webovom sídle zverejňuje všetky relevantné informácie o akreditovaných študijných programoch v samostatných sekciách </w:t>
      </w:r>
      <w:r>
        <w:rPr>
          <w:rFonts w:cs="Calibri" w:cstheme="minorHAnsi"/>
          <w:i/>
          <w:iCs/>
          <w:sz w:val="16"/>
          <w:szCs w:val="16"/>
        </w:rPr>
        <w:t>Uchádzači a Študenti</w:t>
      </w:r>
      <w:r>
        <w:rPr>
          <w:rFonts w:cs="Calibri" w:cstheme="minorHAnsi"/>
          <w:i/>
          <w:sz w:val="16"/>
          <w:szCs w:val="16"/>
        </w:rPr>
        <w:t>. V samostatnej záložke  Možnosti štúdia sú všetky relevantné informácie pre uchádzačov o štúdium na FF PU  v Prešove, napr. podmienky prijatia na štúdium, postup prijímania na štúdium, postup prijímania, sumy školného atď.</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Odkaz: https://www.unipo.sk/filozoficka-fakulta/moznosti-studia/</w:t>
      </w:r>
    </w:p>
    <w:p>
      <w:pPr>
        <w:pStyle w:val="ListParagraph"/>
        <w:spacing w:lineRule="auto" w:line="240" w:before="0" w:after="0"/>
        <w:ind w:left="360" w:hanging="0"/>
        <w:contextualSpacing/>
        <w:rPr>
          <w:rFonts w:cs="Calibri" w:cstheme="minorHAnsi"/>
          <w:color w:val="000000" w:themeColor="text1"/>
          <w:sz w:val="16"/>
          <w:szCs w:val="16"/>
        </w:rPr>
      </w:pPr>
      <w:r>
        <w:rPr>
          <w:rFonts w:cs="Calibri" w:cstheme="minorHAnsi"/>
          <w:color w:val="000000" w:themeColor="text1"/>
          <w:sz w:val="16"/>
          <w:szCs w:val="16"/>
        </w:rPr>
      </w:r>
    </w:p>
    <w:p>
      <w:pPr>
        <w:pStyle w:val="ListParagraph"/>
        <w:numPr>
          <w:ilvl w:val="0"/>
          <w:numId w:val="16"/>
        </w:numPr>
        <w:spacing w:lineRule="auto" w:line="240" w:before="0" w:after="0"/>
        <w:contextualSpacing/>
        <w:rPr>
          <w:rFonts w:cs="Calibri" w:cstheme="minorHAnsi"/>
          <w:color w:val="000000" w:themeColor="text1"/>
          <w:sz w:val="16"/>
          <w:szCs w:val="16"/>
        </w:rPr>
      </w:pPr>
      <w:r>
        <w:rPr>
          <w:rFonts w:cs="Calibri" w:cstheme="minorHAnsi"/>
          <w:color w:val="000000" w:themeColor="text1"/>
          <w:sz w:val="16"/>
          <w:szCs w:val="16"/>
        </w:rPr>
        <w:t xml:space="preserve">Výsledky prijímacieho konania za posledné obdobie. </w:t>
      </w:r>
    </w:p>
    <w:p>
      <w:pPr>
        <w:pStyle w:val="Normal"/>
        <w:spacing w:lineRule="auto" w:line="240" w:before="0" w:after="0"/>
        <w:ind w:left="426" w:hanging="0"/>
        <w:rPr>
          <w:rFonts w:cs="Calibri" w:cstheme="minorHAnsi"/>
          <w:i/>
          <w:i/>
          <w:color w:val="000000" w:themeColor="text1"/>
          <w:sz w:val="16"/>
          <w:szCs w:val="16"/>
        </w:rPr>
      </w:pPr>
      <w:r>
        <w:rPr>
          <w:rFonts w:cs="Calibri" w:cstheme="minorHAnsi"/>
          <w:i/>
          <w:color w:val="000000" w:themeColor="text1"/>
          <w:sz w:val="16"/>
          <w:szCs w:val="16"/>
        </w:rPr>
        <w:t>Výsledky prijímacieho konania sú súčasťou výročných správ a zároveň sú zverejňované na portále CVTI. Centrum vedecko-technických informácií Slovenskej republiky </w:t>
      </w:r>
      <w:hyperlink r:id="rId58" w:tgtFrame="https://www.cvtisr.sk/cvti-sr-vedecka-kniznica/informacie-o-skolstve/zber-udajov/zber-udajov.html?page_id=9986">
        <w:r>
          <w:rPr>
            <w:rFonts w:cs="Calibri" w:cstheme="minorHAnsi"/>
            <w:i/>
            <w:color w:val="000000" w:themeColor="text1"/>
            <w:sz w:val="16"/>
            <w:szCs w:val="16"/>
          </w:rPr>
          <w:t>zostavuje</w:t>
        </w:r>
      </w:hyperlink>
      <w:r>
        <w:rPr>
          <w:rFonts w:cs="Calibri" w:cstheme="minorHAnsi"/>
          <w:i/>
          <w:color w:val="000000" w:themeColor="text1"/>
          <w:sz w:val="16"/>
          <w:szCs w:val="16"/>
        </w:rPr>
        <w:t> a </w:t>
      </w:r>
      <w:hyperlink r:id="rId59" w:tgtFrame="https://www.cvtisr.sk/cvti-sr-vedecka-kniznica/informacie-o-skolstve/skolstvo/vysoke-skoly/prijimacky-na-vysoke-skoly/rebricky.html?page_id=10299">
        <w:r>
          <w:rPr>
            <w:rFonts w:cs="Calibri" w:cstheme="minorHAnsi"/>
            <w:i/>
            <w:color w:val="000000" w:themeColor="text1"/>
            <w:sz w:val="16"/>
            <w:szCs w:val="16"/>
          </w:rPr>
          <w:t>zverejňuje</w:t>
        </w:r>
      </w:hyperlink>
      <w:r>
        <w:rPr>
          <w:rFonts w:cs="Calibri" w:cstheme="minorHAnsi"/>
          <w:i/>
          <w:color w:val="000000" w:themeColor="text1"/>
          <w:sz w:val="16"/>
          <w:szCs w:val="16"/>
        </w:rPr>
        <w:t> štatistiky </w:t>
      </w:r>
      <w:r>
        <w:fldChar w:fldCharType="begin"/>
      </w:r>
      <w:r>
        <w:rPr>
          <w:sz w:val="16"/>
          <w:i/>
          <w:szCs w:val="16"/>
          <w:rFonts w:cs="Calibri"/>
          <w:color w:val="000000"/>
        </w:rPr>
        <w:instrText xml:space="preserve"> HYPERLINK "https://www.cvtisr.sk/cvti-sr-vedecka-kniznica/informacie-o-skolstve/skolstvo/vysoke-skoly/slovnik-pojmov-prijimacieho-konania-na-vysoke-skoly.html?page_id=10302&amp;" \l "wSoPK" \n https://www.cvtisr.sk/cvti-sr-vedecka-kniznica/informacie-o-skolstve/skolstvo/vysoke-skoly/slovnik-pojmov-prijimacieho-konania-na-vysoke-skoly.html?page_id=10302&amp;#wsopk</w:instrText>
      </w:r>
      <w:r>
        <w:rPr>
          <w:sz w:val="16"/>
          <w:i/>
          <w:szCs w:val="16"/>
          <w:rFonts w:cs="Calibri"/>
          <w:color w:val="000000"/>
        </w:rPr>
        <w:fldChar w:fldCharType="separate"/>
      </w:r>
      <w:r>
        <w:rPr>
          <w:rFonts w:cs="Calibri" w:cstheme="minorHAnsi"/>
          <w:i/>
          <w:color w:val="000000" w:themeColor="text1"/>
          <w:sz w:val="16"/>
          <w:szCs w:val="16"/>
        </w:rPr>
        <w:t>prijímacieho konania</w:t>
      </w:r>
      <w:r>
        <w:rPr>
          <w:sz w:val="16"/>
          <w:i/>
          <w:szCs w:val="16"/>
          <w:rFonts w:cs="Calibri"/>
          <w:color w:val="000000"/>
        </w:rPr>
        <w:fldChar w:fldCharType="end"/>
      </w:r>
      <w:r>
        <w:rPr>
          <w:rFonts w:cs="Calibri" w:cstheme="minorHAnsi"/>
          <w:i/>
          <w:color w:val="000000" w:themeColor="text1"/>
          <w:sz w:val="16"/>
          <w:szCs w:val="16"/>
        </w:rPr>
        <w:t> na prvý, na spojený prvý a druhý do jedného celku a na druhý stupeň vysokoškolského štúdia.</w:t>
      </w:r>
    </w:p>
    <w:p>
      <w:pPr>
        <w:pStyle w:val="ListParagraph"/>
        <w:spacing w:lineRule="auto" w:line="240" w:before="0" w:after="0"/>
        <w:ind w:left="426" w:hanging="0"/>
        <w:contextualSpacing/>
        <w:jc w:val="both"/>
        <w:rPr>
          <w:rStyle w:val="InternetLink"/>
          <w:rFonts w:eastAsia="Calibri" w:cs="Calibri"/>
          <w:i/>
          <w:i/>
          <w:iCs/>
          <w:color w:val="000000" w:themeColor="text1"/>
          <w:sz w:val="16"/>
          <w:szCs w:val="16"/>
        </w:rPr>
      </w:pPr>
      <w:r>
        <w:rPr>
          <w:rFonts w:eastAsia="Calibri" w:cs="Calibri"/>
          <w:i/>
          <w:iCs/>
          <w:color w:val="000000" w:themeColor="text1"/>
          <w:sz w:val="16"/>
          <w:szCs w:val="16"/>
        </w:rPr>
        <w:t xml:space="preserve">Odkaz: </w:t>
      </w:r>
      <w:hyperlink r:id="rId60">
        <w:r>
          <w:rPr>
            <w:rStyle w:val="InternetLink"/>
            <w:rFonts w:eastAsia="Calibri" w:cs="Calibri"/>
            <w:i/>
            <w:iCs/>
            <w:color w:val="000000" w:themeColor="text1"/>
            <w:sz w:val="16"/>
            <w:szCs w:val="16"/>
          </w:rPr>
          <w:t>https://www.cvtisr.sk/cvti-sr-vedecka-kniznica/informacie-o-skolstve/statistiky/statistika-prijimacieho-konania-na-vysoke-skoly-sr.html?page_id=9723</w:t>
        </w:r>
      </w:hyperlink>
    </w:p>
    <w:p>
      <w:pPr>
        <w:pStyle w:val="ListParagraph"/>
        <w:spacing w:lineRule="auto" w:line="240" w:before="0" w:after="0"/>
        <w:ind w:left="426"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r>
    </w:p>
    <w:p>
      <w:pPr>
        <w:pStyle w:val="ListParagraph"/>
        <w:numPr>
          <w:ilvl w:val="0"/>
          <w:numId w:val="1"/>
        </w:numPr>
        <w:spacing w:lineRule="auto" w:line="240" w:before="0" w:after="0"/>
        <w:contextualSpacing/>
        <w:rPr>
          <w:b/>
          <w:b/>
          <w:bCs/>
          <w:color w:val="000000" w:themeColor="text1"/>
          <w:sz w:val="16"/>
          <w:szCs w:val="16"/>
        </w:rPr>
      </w:pPr>
      <w:r>
        <w:rPr>
          <w:b/>
          <w:bCs/>
          <w:color w:val="000000" w:themeColor="text1"/>
          <w:sz w:val="16"/>
          <w:szCs w:val="16"/>
        </w:rPr>
        <w:t xml:space="preserve">Spätná väzba na kvalitu poskytovaného vzdelávania </w:t>
      </w:r>
    </w:p>
    <w:p>
      <w:pPr>
        <w:pStyle w:val="ListParagraph"/>
        <w:numPr>
          <w:ilvl w:val="0"/>
          <w:numId w:val="17"/>
        </w:numPr>
        <w:spacing w:lineRule="auto" w:line="240" w:before="0" w:after="0"/>
        <w:contextualSpacing/>
        <w:rPr>
          <w:rFonts w:cs="Calibri" w:cstheme="minorHAnsi"/>
          <w:color w:val="000000" w:themeColor="text1"/>
          <w:sz w:val="16"/>
          <w:szCs w:val="16"/>
        </w:rPr>
      </w:pPr>
      <w:r>
        <w:rPr>
          <w:rFonts w:cs="Calibri" w:cstheme="minorHAnsi"/>
          <w:color w:val="000000" w:themeColor="text1"/>
          <w:sz w:val="16"/>
          <w:szCs w:val="16"/>
        </w:rPr>
        <w:t xml:space="preserve">Postupy monitorovania a hodnotenia názorov študentov na kvalitu študijného programu. </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Snahou PU je výraznejšie zapojiť študentov do procesu autoevaluácie a evaluácie obsah a realizácie študijných programov, a to nielen v oblasti priamej výučby, ale i podporných služieb, technológií, možnosti zapojenia sa vedeckých, kultúrnych, športových a ďalších extrakurikulárnych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nereliabilná a preto sa hľadajú nové nástroje jednak motivovania študentov k podávaniu spätnej väzby ako aj nástrojov jej doručovania.</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t>Na úrovni inštitútu sa spätná väzba realizuje po ukončení každého semestra pedagógmi za každý vyučovaný predmety. Každý pedagóg svoju spätnú väzbu vyhodnotí a informuje o nej nadriadeného pracovníka (riaditeľa inštitútu). Na základe údajov zo spätnej väzby sa následne prijímajú opatrenia na zvýšenie kvality vyučovania.</w:t>
      </w:r>
    </w:p>
    <w:p>
      <w:pPr>
        <w:pStyle w:val="ListParagraph"/>
        <w:spacing w:lineRule="auto" w:line="240" w:before="0" w:after="0"/>
        <w:ind w:left="360" w:hanging="0"/>
        <w:contextualSpacing/>
        <w:rPr>
          <w:rFonts w:cs="Calibri" w:cstheme="minorHAnsi"/>
          <w:i/>
          <w:i/>
          <w:iCs/>
          <w:color w:val="000000" w:themeColor="text1"/>
          <w:sz w:val="16"/>
          <w:szCs w:val="16"/>
        </w:rPr>
      </w:pPr>
      <w:r>
        <w:rPr>
          <w:rFonts w:cs="Calibri" w:cstheme="minorHAnsi"/>
          <w:i/>
          <w:iCs/>
          <w:color w:val="000000" w:themeColor="text1"/>
          <w:sz w:val="16"/>
          <w:szCs w:val="16"/>
        </w:rPr>
      </w:r>
    </w:p>
    <w:p>
      <w:pPr>
        <w:pStyle w:val="ListParagraph"/>
        <w:numPr>
          <w:ilvl w:val="0"/>
          <w:numId w:val="17"/>
        </w:numPr>
        <w:spacing w:lineRule="auto" w:line="240" w:before="0" w:after="0"/>
        <w:contextualSpacing/>
        <w:rPr>
          <w:rFonts w:cs="Calibri" w:cstheme="minorHAnsi"/>
          <w:color w:val="000000" w:themeColor="text1"/>
          <w:sz w:val="16"/>
          <w:szCs w:val="16"/>
        </w:rPr>
      </w:pPr>
      <w:r>
        <w:rPr>
          <w:rFonts w:cs="Calibri" w:cstheme="minorHAnsi"/>
          <w:color w:val="000000" w:themeColor="text1"/>
          <w:sz w:val="16"/>
          <w:szCs w:val="16"/>
        </w:rPr>
        <w:t xml:space="preserve">Výsledky spätnej väzby študentov a súvisiace opatrenia na zvyšovania kvality študijného programu. </w:t>
      </w:r>
    </w:p>
    <w:p>
      <w:pPr>
        <w:pStyle w:val="ListParagraph"/>
        <w:spacing w:lineRule="auto" w:line="240" w:before="0" w:after="0"/>
        <w:ind w:left="360" w:hanging="0"/>
        <w:contextualSpacing/>
        <w:rPr>
          <w:rFonts w:eastAsia="Calibri" w:cs="Calibri"/>
          <w:i/>
          <w:i/>
          <w:iCs/>
          <w:color w:val="000000" w:themeColor="text1"/>
          <w:sz w:val="16"/>
          <w:szCs w:val="16"/>
        </w:rPr>
      </w:pPr>
      <w:r>
        <w:rPr>
          <w:rFonts w:eastAsia="Calibri" w:cs="Calibri"/>
          <w:i/>
          <w:iCs/>
          <w:color w:val="000000" w:themeColor="text1"/>
          <w:sz w:val="16"/>
          <w:szCs w:val="16"/>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p>
      <w:pPr>
        <w:pStyle w:val="ListParagraph"/>
        <w:spacing w:lineRule="auto" w:line="240" w:before="0" w:after="0"/>
        <w:ind w:left="360" w:hanging="0"/>
        <w:contextualSpacing/>
        <w:rPr>
          <w:rFonts w:eastAsia="Calibri" w:cs="Calibri"/>
          <w:i/>
          <w:i/>
          <w:iCs/>
          <w:color w:val="000000" w:themeColor="text1"/>
          <w:sz w:val="16"/>
          <w:szCs w:val="16"/>
        </w:rPr>
      </w:pPr>
      <w:r>
        <w:rPr>
          <w:rFonts w:eastAsia="Calibri" w:cs="Calibri"/>
          <w:i/>
          <w:iCs/>
          <w:color w:val="000000" w:themeColor="text1"/>
          <w:sz w:val="16"/>
          <w:szCs w:val="16"/>
        </w:rPr>
        <w:t>Spätná väzba je prevažne pozitívna, študenti hodnotia pozitívne najmä ľudský prístup vyučujúcich, ich vysokú fundovanosť, spôsob, akým reagujú na podnety študentov. Oceňujú najmä uplatňovanie na študenta orientovaného prístupu, ktorý podporuje ich aktivitu. Z negatívnej spätnej väzby sa objavujú informácie o nie vždy zrozumiteľne komunikovaných požiadavkách a kritériách hodnotenia a tiež o občasných posunoch v rámci harmonogramu výučby. Študenti občas uvádzajú vysoké nároky na niektorých predmetoch, najmä pri povinných profilových predmetoch, avšak tieto pripomienky sú skúmané aj s ohľadom na povahu predmetov a ich význam pre budovanie profilu absolventa. Vo všeobecnosti sú však všetky námietky komunikované s jednotlivými pedagógmi a na základe zohľadnenia významnosti pripomienok sú tieto následne modifikované, prípadne lepšie komunikované študentom.</w:t>
      </w:r>
    </w:p>
    <w:p>
      <w:pPr>
        <w:pStyle w:val="ListParagraph"/>
        <w:numPr>
          <w:ilvl w:val="0"/>
          <w:numId w:val="17"/>
        </w:numPr>
        <w:spacing w:lineRule="auto" w:line="240" w:before="0" w:after="0"/>
        <w:contextualSpacing/>
        <w:rPr>
          <w:rFonts w:cs="Calibri" w:cstheme="minorHAnsi"/>
          <w:color w:val="000000" w:themeColor="text1"/>
          <w:sz w:val="16"/>
          <w:szCs w:val="16"/>
        </w:rPr>
      </w:pPr>
      <w:r>
        <w:rPr>
          <w:rFonts w:cs="Calibri" w:cstheme="minorHAnsi"/>
          <w:color w:val="000000" w:themeColor="text1"/>
          <w:sz w:val="16"/>
          <w:szCs w:val="16"/>
        </w:rPr>
        <w:t xml:space="preserve">Výsledky spätnej väzby absolventov a súvisiace opatrenia na zvyšovania kvality študijného programu. </w:t>
      </w:r>
    </w:p>
    <w:p>
      <w:pPr>
        <w:pStyle w:val="ListParagraph"/>
        <w:spacing w:lineRule="auto" w:line="240" w:before="0" w:after="0"/>
        <w:ind w:left="360" w:hanging="0"/>
        <w:contextualSpacing/>
        <w:jc w:val="both"/>
        <w:rPr>
          <w:rFonts w:eastAsia="Calibri" w:cs="Calibri"/>
          <w:i/>
          <w:i/>
          <w:iCs/>
          <w:color w:val="000000" w:themeColor="text1"/>
          <w:sz w:val="16"/>
          <w:szCs w:val="16"/>
        </w:rPr>
      </w:pPr>
      <w:r>
        <w:rPr>
          <w:rFonts w:eastAsia="Calibri" w:cs="Calibri"/>
          <w:i/>
          <w:iCs/>
          <w:color w:val="000000" w:themeColor="text1"/>
          <w:sz w:val="16"/>
          <w:szCs w:val="16"/>
        </w:rPr>
        <w:t xml:space="preserve">Spätná väzba absolventov programu je realizovaná na fakultnej/univerzitnej úrovni. Výsledky sú súčasťou výročných správ. Vzhľadom na skutočnosť, že absolventi programu sú v intenzívnom kontakte s pracovníkmi inštitútu (najmä s didaktikmi) v rámci realizácii rôznych domácich a zahraničných projektov, je vytvorený priestor na získanie informácii o skladbe študijného programu, jeho kvalite a jeho schopnosti reflektovať aktuálne potreby praxe. Dôraz sa kládol najmä na zvýšenie pozornosti pri edukácii žiakov so špecifickými potrebami. </w:t>
      </w:r>
    </w:p>
    <w:p>
      <w:pPr>
        <w:pStyle w:val="ListParagraph"/>
        <w:numPr>
          <w:ilvl w:val="0"/>
          <w:numId w:val="1"/>
        </w:numPr>
        <w:spacing w:lineRule="auto" w:line="240" w:before="0" w:after="0"/>
        <w:contextualSpacing/>
        <w:rPr>
          <w:b/>
          <w:b/>
          <w:bCs/>
          <w:color w:val="000000" w:themeColor="text1"/>
          <w:sz w:val="16"/>
          <w:szCs w:val="16"/>
        </w:rPr>
      </w:pPr>
      <w:r>
        <w:rPr>
          <w:b/>
          <w:bCs/>
          <w:color w:val="000000" w:themeColor="text1"/>
          <w:sz w:val="16"/>
          <w:szCs w:val="16"/>
        </w:rPr>
        <w:t xml:space="preserve">Odkazy na ďalšie relevantné vnútorné predpisy a informácie týkajúce sa štúdia alebo študenta študijného programu </w:t>
      </w:r>
      <w:r>
        <w:rPr>
          <w:color w:val="000000" w:themeColor="text1"/>
          <w:sz w:val="16"/>
          <w:szCs w:val="16"/>
        </w:rPr>
        <w:t xml:space="preserve">(napr. sprievodca štúdiom, ubytovacie poriadky, smernica o poplatkoch, usmernenia pre študentské pôžičky a podobne).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Možnosti ubytovania študentov: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https://www.unipo.sk/sdj/hlavne-sekcie/pracovisko/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Ubytovací poriadok: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https://www.unipo.sk/public/media/25722/Ubytovac%C3%AD%20poriadok%20SDJ%20PU%202020.pdf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Smernica o poplatkoch v aktuálnom ak. roku: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Link: https://www.unipo.sk/aktuality/37814/</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Štipendijný poriadok PU: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https://www.unipo.sk/public/media/24024/Stipendijny_poriadok2013-final.pdf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Informácie o sociálnych štipendiách: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https://www.unipo.sk/vseobecne-informacie/uvod/stip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Informácie o študentských pôžičkách: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Link: https://www.unipo.sk/public/media/24024/Stipendijny_poriadok2013-final.pdf  (čl. 9)</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Smernica rektora o uznávaní dokladov o vzdelaní vydaných zahraničnými vysokými školami: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https://www.unipo.sk/absolventi/uznavanie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Knižničný a výpožičný poriadok Univerzitnej knižnice PU: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http://www.pulib.sk/web/data/pulib/subory/stranka/ukpu-kniznicny-poriadok.pdf </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Univerzitné pastoračné centrum:</w:t>
      </w:r>
    </w:p>
    <w:p>
      <w:pPr>
        <w:pStyle w:val="Normal"/>
        <w:spacing w:lineRule="auto" w:line="240" w:before="0" w:after="0"/>
        <w:ind w:left="426" w:hanging="0"/>
        <w:rPr>
          <w:rFonts w:cs="Calibri" w:cstheme="minorHAnsi"/>
          <w:i/>
          <w:i/>
          <w:iCs/>
          <w:color w:val="000000" w:themeColor="text1"/>
          <w:sz w:val="16"/>
          <w:szCs w:val="16"/>
        </w:rPr>
      </w:pPr>
      <w:r>
        <w:rPr>
          <w:rFonts w:cs="Calibri" w:cstheme="minorHAnsi"/>
          <w:i/>
          <w:iCs/>
          <w:color w:val="000000" w:themeColor="text1"/>
          <w:sz w:val="16"/>
          <w:szCs w:val="16"/>
        </w:rPr>
        <w:t xml:space="preserve">Link: http://upc.unipo.sk/ </w:t>
      </w:r>
    </w:p>
    <w:p>
      <w:pPr>
        <w:pStyle w:val="ListParagraph"/>
        <w:spacing w:lineRule="auto" w:line="240" w:before="0" w:after="0"/>
        <w:ind w:left="360" w:hanging="0"/>
        <w:contextualSpacing/>
        <w:rPr>
          <w:rFonts w:cs="Calibri" w:cstheme="minorHAnsi"/>
          <w:b/>
          <w:b/>
          <w:bCs/>
          <w:sz w:val="16"/>
          <w:szCs w:val="16"/>
        </w:rPr>
      </w:pPr>
      <w:r>
        <w:rPr>
          <w:rFonts w:cs="Calibri" w:cstheme="minorHAnsi"/>
          <w:b/>
          <w:bCs/>
          <w:sz w:val="16"/>
          <w:szCs w:val="16"/>
        </w:rPr>
      </w:r>
    </w:p>
    <w:p>
      <w:pPr>
        <w:pStyle w:val="Normal"/>
        <w:spacing w:lineRule="auto" w:line="240" w:before="0" w:after="0"/>
        <w:rPr>
          <w:rFonts w:cs="Calibri" w:cstheme="minorHAnsi"/>
          <w:b/>
          <w:b/>
          <w:sz w:val="16"/>
          <w:szCs w:val="16"/>
        </w:rPr>
      </w:pPr>
      <w:r>
        <w:rPr>
          <w:rFonts w:cs="Calibri" w:cstheme="minorHAnsi"/>
          <w:b/>
          <w:sz w:val="16"/>
          <w:szCs w:val="16"/>
        </w:rPr>
      </w:r>
    </w:p>
    <w:p>
      <w:pPr>
        <w:pStyle w:val="Normal"/>
        <w:spacing w:lineRule="auto" w:line="240" w:before="0" w:after="0"/>
        <w:rPr>
          <w:rFonts w:cs="Calibri" w:cstheme="minorHAnsi"/>
          <w:b/>
          <w:b/>
          <w:sz w:val="16"/>
          <w:szCs w:val="16"/>
        </w:rPr>
      </w:pPr>
      <w:r>
        <w:rPr>
          <w:rFonts w:cs="Calibri" w:cstheme="minorHAnsi"/>
          <w:b/>
          <w:sz w:val="16"/>
          <w:szCs w:val="16"/>
        </w:rPr>
      </w:r>
    </w:p>
    <w:p>
      <w:pPr>
        <w:pStyle w:val="Normal"/>
        <w:spacing w:lineRule="auto" w:line="240" w:before="0" w:after="0"/>
        <w:rPr>
          <w:rFonts w:cs="Calibri" w:cstheme="minorHAnsi"/>
          <w:b/>
          <w:b/>
          <w:sz w:val="16"/>
          <w:szCs w:val="16"/>
        </w:rPr>
      </w:pPr>
      <w:r>
        <w:rPr>
          <w:rFonts w:cs="Calibri" w:cstheme="minorHAnsi"/>
          <w:b/>
          <w:sz w:val="16"/>
          <w:szCs w:val="16"/>
        </w:rPr>
      </w:r>
    </w:p>
    <w:p>
      <w:pPr>
        <w:pStyle w:val="Normal"/>
        <w:spacing w:lineRule="auto" w:line="240" w:before="0" w:after="0"/>
        <w:rPr>
          <w:rFonts w:cs="Calibri" w:cstheme="minorHAnsi"/>
          <w:b/>
          <w:b/>
          <w:sz w:val="16"/>
          <w:szCs w:val="16"/>
        </w:rPr>
      </w:pPr>
      <w:r>
        <w:rPr>
          <w:rFonts w:cs="Calibri" w:cstheme="minorHAnsi"/>
          <w:b/>
          <w:sz w:val="16"/>
          <w:szCs w:val="16"/>
        </w:rPr>
      </w:r>
    </w:p>
    <w:p>
      <w:pPr>
        <w:pStyle w:val="Normal"/>
        <w:spacing w:before="0" w:after="240"/>
        <w:rPr>
          <w:rFonts w:cs="Calibri" w:cstheme="minorHAnsi"/>
          <w:b/>
          <w:b/>
          <w:sz w:val="16"/>
          <w:szCs w:val="16"/>
        </w:rPr>
      </w:pPr>
      <w:r>
        <w:rPr>
          <w:rFonts w:cs="Calibri" w:cstheme="minorHAnsi"/>
          <w:b/>
          <w:sz w:val="16"/>
          <w:szCs w:val="16"/>
        </w:rPr>
      </w:r>
    </w:p>
    <w:p>
      <w:pPr>
        <w:pStyle w:val="Normal"/>
        <w:spacing w:before="0" w:after="200"/>
        <w:rPr>
          <w:i/>
          <w:i/>
        </w:rPr>
      </w:pPr>
      <w:r>
        <w:rPr/>
      </w:r>
    </w:p>
    <w:sectPr>
      <w:footerReference w:type="default" r:id="rId61"/>
      <w:footerReference w:type="first" r:id="rId62"/>
      <w:footnotePr>
        <w:numFmt w:val="decimal"/>
      </w:footnotePr>
      <w:type w:val="nextPage"/>
      <w:pgSz w:orient="landscape" w:w="16838" w:h="11906"/>
      <w:pgMar w:left="1276" w:right="1417" w:gutter="0" w:header="0" w:top="1276" w:footer="708" w:bottom="12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ee"/>
    <w:family w:val="swiss"/>
    <w:pitch w:val="variable"/>
  </w:font>
  <w:font w:name="Times New Roman">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 w:name="&quot;Arial&quot;">
    <w:altName w:val="sans-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 xml:space="preserve">Ak zmena nie je úpravou študijného programu podľa § 30 zákona č. 269/2018 Z. z.  </w:t>
      </w:r>
    </w:p>
  </w:footnote>
  <w:footnote w:id="3">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 xml:space="preserve">Uvádza sa len vtedy, ak bola udelená akreditácia študijného programu podľa § 30 zákona č. 269/2018 Z. z. </w:t>
      </w:r>
    </w:p>
  </w:footnote>
  <w:footnote w:id="4">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Podľa Medzinárodnej štandardnej klasifikácie vzdelávania. Odbory vzdelávania a praxe 2013.</w:t>
      </w:r>
    </w:p>
  </w:footnote>
  <w:footnote w:id="5">
    <w:p>
      <w:pPr>
        <w:pStyle w:val="Footnote"/>
        <w:rPr>
          <w:color w:val="0070C0"/>
          <w:sz w:val="14"/>
          <w:szCs w:val="18"/>
        </w:rPr>
      </w:pPr>
      <w:r>
        <w:rPr>
          <w:rStyle w:val="FootnoteCharacters"/>
        </w:rPr>
        <w:footnoteRef/>
      </w:r>
      <w:r>
        <w:rPr>
          <w:color w:val="0070C0"/>
        </w:rPr>
        <w:t xml:space="preserve"> </w:t>
      </w:r>
      <w:r>
        <w:rPr>
          <w:color w:val="0070C0"/>
          <w:sz w:val="14"/>
          <w:szCs w:val="18"/>
        </w:rPr>
        <w:t>Podľa § 60 zákona č. 131/2002 Z. z. o vysokých školách.</w:t>
      </w:r>
    </w:p>
  </w:footnote>
  <w:footnote w:id="6">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7">
    <w:p>
      <w:pPr>
        <w:pStyle w:val="Footnote"/>
        <w:rPr>
          <w:rFonts w:cs="Calibri" w:cstheme="minorHAnsi"/>
          <w:color w:val="0070C0"/>
          <w:sz w:val="14"/>
          <w:szCs w:val="14"/>
        </w:rPr>
      </w:pPr>
      <w:r>
        <w:rPr>
          <w:rStyle w:val="FootnoteCharacters"/>
        </w:rPr>
        <w:footnoteRef/>
      </w:r>
      <w:r>
        <w:rPr>
          <w:color w:val="0070C0"/>
          <w:sz w:val="14"/>
          <w:szCs w:val="14"/>
        </w:rPr>
        <w:t xml:space="preserve"> </w:t>
      </w:r>
      <w:r>
        <w:rPr>
          <w:rFonts w:cs="Calibri" w:cstheme="minorHAnsi"/>
          <w:color w:val="0070C0"/>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8">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Ak ide o regulované povolania v súlade s požiadavkami pre získanie odbornej spôsobilosti podľa osobitného predpisu.</w:t>
      </w:r>
    </w:p>
  </w:footnote>
  <w:footnote w:id="9">
    <w:p>
      <w:pPr>
        <w:pStyle w:val="Footnote"/>
        <w:rPr>
          <w:color w:val="0070C0"/>
          <w:sz w:val="14"/>
          <w:szCs w:val="14"/>
        </w:rPr>
      </w:pPr>
      <w:r>
        <w:rPr>
          <w:rStyle w:val="FootnoteCharacters"/>
        </w:rPr>
        <w:footnoteRef/>
      </w:r>
      <w:r>
        <w:rPr>
          <w:color w:val="0070C0"/>
        </w:rPr>
        <w:t xml:space="preserve"> </w:t>
      </w:r>
      <w:r>
        <w:rPr>
          <w:color w:val="0070C0"/>
          <w:sz w:val="14"/>
          <w:szCs w:val="14"/>
        </w:rPr>
        <w:t>Vybrané charakteristiky obsahu študijného programu môžu byť uvedené priamo v Informačných listoch predmetov alebo doplnené informáciami Informačných listov predmetov.</w:t>
      </w:r>
    </w:p>
  </w:footnote>
  <w:footnote w:id="10">
    <w:p>
      <w:pPr>
        <w:pStyle w:val="Footnote"/>
        <w:rPr>
          <w:color w:val="0070C0"/>
          <w:sz w:val="12"/>
          <w:szCs w:val="16"/>
        </w:rPr>
      </w:pPr>
      <w:r>
        <w:rPr>
          <w:rStyle w:val="FootnoteCharacters"/>
        </w:rPr>
        <w:footnoteRef/>
      </w:r>
      <w:r>
        <w:rPr>
          <w:color w:val="0070C0"/>
          <w:sz w:val="14"/>
          <w:szCs w:val="14"/>
        </w:rPr>
        <w:t xml:space="preserve"> </w:t>
      </w:r>
      <w:r>
        <w:rPr>
          <w:color w:val="0070C0"/>
          <w:sz w:val="14"/>
          <w:szCs w:val="14"/>
        </w:rPr>
        <w:t>V súlade s vyhláškou č. 614/2002 Z. z. o kreditovom systéme štúdia a zákonom č. 131/2002 Z. z. o vysokých školách a o zmene a doplnení niektorých zákonov.</w:t>
      </w:r>
    </w:p>
  </w:footnote>
  <w:footnote w:id="11">
    <w:p>
      <w:pPr>
        <w:pStyle w:val="Footnote"/>
        <w:rPr>
          <w:color w:val="000000" w:themeColor="text1"/>
          <w:sz w:val="14"/>
          <w:szCs w:val="18"/>
        </w:rPr>
      </w:pPr>
      <w:r>
        <w:rPr>
          <w:rStyle w:val="FootnoteCharacters"/>
        </w:rPr>
        <w:footnoteRef/>
      </w:r>
      <w:r>
        <w:rPr>
          <w:color w:val="000000" w:themeColor="text1"/>
          <w:sz w:val="14"/>
          <w:szCs w:val="18"/>
        </w:rPr>
        <w:t xml:space="preserve"> </w:t>
      </w:r>
      <w:r>
        <w:rPr>
          <w:color w:val="000000" w:themeColor="text1"/>
          <w:sz w:val="14"/>
          <w:szCs w:val="18"/>
        </w:rPr>
        <w:t xml:space="preserve">Učitelia zabezpečujúci predmet počas posudzovania umožnia prístup pracovnej skupiny k študijným materiálom predmetu a obsahu jednotlivých vzdelávacích činností. </w:t>
      </w:r>
    </w:p>
  </w:footnote>
  <w:footnote w:id="12">
    <w:p>
      <w:pPr>
        <w:pStyle w:val="Footnote"/>
        <w:rPr>
          <w:color w:val="000000" w:themeColor="text1"/>
          <w:sz w:val="14"/>
          <w:szCs w:val="14"/>
        </w:rPr>
      </w:pPr>
      <w:r>
        <w:rPr>
          <w:rStyle w:val="FootnoteCharacters"/>
        </w:rPr>
        <w:footnoteRef/>
      </w:r>
      <w:r>
        <w:rPr>
          <w:color w:val="000000" w:themeColor="text1"/>
        </w:rPr>
        <w:t xml:space="preserve"> </w:t>
      </w:r>
      <w:r>
        <w:rPr>
          <w:color w:val="000000" w:themeColor="text1"/>
          <w:sz w:val="14"/>
          <w:szCs w:val="14"/>
        </w:rPr>
        <w:t>Odporúčame uvádzať záťaž súvisiacu s kontaktnou aj nekontaktnou výučbou v súlade s ECTS Users' Guide 2015.</w:t>
      </w:r>
    </w:p>
  </w:footnote>
  <w:footnote w:id="13">
    <w:p>
      <w:pPr>
        <w:pStyle w:val="Footnote"/>
        <w:rPr>
          <w:color w:val="000000" w:themeColor="text1"/>
        </w:rPr>
      </w:pPr>
      <w:r>
        <w:rPr>
          <w:rStyle w:val="FootnoteCharacters"/>
        </w:rPr>
        <w:footnoteRef/>
      </w:r>
      <w:r>
        <w:rPr>
          <w:color w:val="000000" w:themeColor="text1"/>
          <w:sz w:val="14"/>
          <w:szCs w:val="18"/>
        </w:rPr>
        <w:t xml:space="preserve"> </w:t>
      </w:r>
      <w:r>
        <w:rPr>
          <w:color w:val="000000" w:themeColor="text1"/>
          <w:sz w:val="14"/>
          <w:szCs w:val="18"/>
        </w:rPr>
        <w:t>Napr. pri zabezpečovaní odbornej praxe, alebo inej vzdelávacej činnosti uskutočňovanej mimo univerzity.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16"/>
        <w:b/>
        <w:szCs w:val="8"/>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lowerLetter"/>
      <w:lvlText w:val="%1)"/>
      <w:lvlJc w:val="left"/>
      <w:pPr>
        <w:tabs>
          <w:tab w:val="num" w:pos="0"/>
        </w:tabs>
        <w:ind w:left="360" w:hanging="360"/>
      </w:pPr>
      <w:rPr>
        <w:i w:val="false"/>
        <w:i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360" w:hanging="360"/>
      </w:pPr>
      <w:rPr>
        <w:sz w:val="14"/>
        <w:i/>
        <w:szCs w:val="6"/>
        <w:i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Arial" w:hAnsi="Arial" w:cs="Aria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8">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quot;Arial&quot;" w:hAnsi="&quot;Arial&quot;" w:cs="&quot;Arial&quo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5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sk-SK" w:eastAsia="sk-SK"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cs="Times New Roman" w:ascii="Calibri" w:hAnsi="Calibri" w:eastAsia="Times New Roman"/>
      <w:color w:val="auto"/>
      <w:kern w:val="0"/>
      <w:sz w:val="22"/>
      <w:szCs w:val="22"/>
      <w:lang w:eastAsia="en-US" w:val="sk-SK" w:bidi="ar-SA"/>
    </w:rPr>
  </w:style>
  <w:style w:type="paragraph" w:styleId="Heading2">
    <w:name w:val="Heading 2"/>
    <w:basedOn w:val="Normal"/>
    <w:next w:val="Normal"/>
    <w:link w:val="Nadpis2Char"/>
    <w:uiPriority w:val="99"/>
    <w:qFormat/>
    <w:rsid w:val="00767cac"/>
    <w:pPr>
      <w:keepNext w:val="true"/>
      <w:spacing w:before="240" w:after="60"/>
      <w:outlineLvl w:val="1"/>
    </w:pPr>
    <w:rPr>
      <w:rFonts w:ascii="Cambria" w:hAnsi="Cambria"/>
      <w:b/>
      <w:bCs/>
      <w:i/>
      <w:iCs/>
      <w:sz w:val="28"/>
      <w:szCs w:val="28"/>
    </w:rPr>
  </w:style>
  <w:style w:type="paragraph" w:styleId="Heading7">
    <w:name w:val="Heading 7"/>
    <w:basedOn w:val="Normal"/>
    <w:next w:val="Normal"/>
    <w:link w:val="Nadpis7Char"/>
    <w:uiPriority w:val="99"/>
    <w:qFormat/>
    <w:rsid w:val="00767cac"/>
    <w:pPr>
      <w:spacing w:lineRule="auto" w:line="240" w:before="240" w:after="60"/>
      <w:outlineLvl w:val="6"/>
    </w:pPr>
    <w:rPr>
      <w:sz w:val="24"/>
      <w:szCs w:val="24"/>
      <w:lang w:eastAsia="sk-SK"/>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Heading2"/>
    <w:uiPriority w:val="99"/>
    <w:qFormat/>
    <w:locked/>
    <w:rsid w:val="00767cac"/>
    <w:rPr>
      <w:rFonts w:ascii="Cambria" w:hAnsi="Cambria" w:cs="Times New Roman"/>
      <w:b/>
      <w:bCs/>
      <w:i/>
      <w:iCs/>
      <w:sz w:val="28"/>
      <w:szCs w:val="28"/>
    </w:rPr>
  </w:style>
  <w:style w:type="character" w:styleId="Nadpis7Char" w:customStyle="1">
    <w:name w:val="Nadpis 7 Char"/>
    <w:basedOn w:val="DefaultParagraphFont"/>
    <w:link w:val="Heading7"/>
    <w:uiPriority w:val="99"/>
    <w:qFormat/>
    <w:locked/>
    <w:rsid w:val="00767cac"/>
    <w:rPr>
      <w:rFonts w:ascii="Calibri" w:hAnsi="Calibri" w:cs="Times New Roman"/>
      <w:sz w:val="24"/>
      <w:szCs w:val="24"/>
      <w:lang w:val="x-none" w:eastAsia="sk-SK"/>
    </w:rPr>
  </w:style>
  <w:style w:type="character" w:styleId="TextbublinyChar" w:customStyle="1">
    <w:name w:val="Text bubliny Char"/>
    <w:basedOn w:val="DefaultParagraphFont"/>
    <w:link w:val="BalloonText"/>
    <w:uiPriority w:val="99"/>
    <w:semiHidden/>
    <w:qFormat/>
    <w:locked/>
    <w:rsid w:val="00767cac"/>
    <w:rPr>
      <w:rFonts w:ascii="Tahoma" w:hAnsi="Tahoma" w:cs="Tahoma"/>
      <w:sz w:val="16"/>
      <w:szCs w:val="16"/>
    </w:rPr>
  </w:style>
  <w:style w:type="character" w:styleId="NOVACASTChar" w:customStyle="1">
    <w:name w:val="NOVACAST Char"/>
    <w:link w:val="NOVACAST"/>
    <w:uiPriority w:val="99"/>
    <w:qFormat/>
    <w:locked/>
    <w:rsid w:val="00767cac"/>
    <w:rPr>
      <w:rFonts w:ascii="Times New Roman" w:hAnsi="Times New Roman"/>
      <w:b/>
      <w:color w:val="365F91"/>
      <w:sz w:val="28"/>
    </w:rPr>
  </w:style>
  <w:style w:type="character" w:styleId="PolokaChar" w:customStyle="1">
    <w:name w:val="Položka Char"/>
    <w:link w:val="Poloka"/>
    <w:uiPriority w:val="99"/>
    <w:qFormat/>
    <w:locked/>
    <w:rsid w:val="00767cac"/>
    <w:rPr>
      <w:rFonts w:ascii="Times New Roman" w:hAnsi="Times New Roman"/>
      <w:b/>
      <w:sz w:val="16"/>
    </w:rPr>
  </w:style>
  <w:style w:type="character" w:styleId="PolokakomentrChar" w:customStyle="1">
    <w:name w:val="Položka_komentár Char"/>
    <w:link w:val="Polokakomentr"/>
    <w:uiPriority w:val="99"/>
    <w:qFormat/>
    <w:locked/>
    <w:rsid w:val="00767cac"/>
    <w:rPr>
      <w:rFonts w:ascii="Times New Roman" w:hAnsi="Times New Roman"/>
      <w:i/>
      <w:sz w:val="20"/>
    </w:rPr>
  </w:style>
  <w:style w:type="character" w:styleId="NOVACAST2Char" w:customStyle="1">
    <w:name w:val="NOVACAST_2 Char"/>
    <w:link w:val="NOVACAST2"/>
    <w:uiPriority w:val="99"/>
    <w:qFormat/>
    <w:locked/>
    <w:rsid w:val="00767cac"/>
    <w:rPr>
      <w:rFonts w:ascii="Times New Roman" w:hAnsi="Times New Roman"/>
      <w:b/>
      <w:color w:val="365F91"/>
      <w:sz w:val="24"/>
    </w:rPr>
  </w:style>
  <w:style w:type="character" w:styleId="TextkoncovejpoznmkyChar" w:customStyle="1">
    <w:name w:val="Text koncovej poznámky Char"/>
    <w:basedOn w:val="DefaultParagraphFont"/>
    <w:link w:val="Textkoncovejpoznmky"/>
    <w:uiPriority w:val="99"/>
    <w:qFormat/>
    <w:locked/>
    <w:rsid w:val="00767cac"/>
    <w:rPr>
      <w:rFonts w:ascii="Times New Roman" w:hAnsi="Times New Roman" w:cs="Times New Roman"/>
      <w:sz w:val="20"/>
      <w:szCs w:val="20"/>
    </w:rPr>
  </w:style>
  <w:style w:type="character" w:styleId="NOVACAST3Char" w:customStyle="1">
    <w:name w:val="NOVACAST_3 Char"/>
    <w:link w:val="NOVACAST3"/>
    <w:uiPriority w:val="99"/>
    <w:qFormat/>
    <w:locked/>
    <w:rsid w:val="00767cac"/>
    <w:rPr>
      <w:rFonts w:ascii="Times New Roman" w:hAnsi="Times New Roman"/>
      <w:b/>
      <w:color w:val="365F91"/>
      <w:sz w:val="20"/>
    </w:rPr>
  </w:style>
  <w:style w:type="character" w:styleId="VysvetlivkaChar" w:customStyle="1">
    <w:name w:val="Vysvetlivka Char"/>
    <w:link w:val="Vysvetlivka"/>
    <w:uiPriority w:val="99"/>
    <w:qFormat/>
    <w:locked/>
    <w:rsid w:val="00767cac"/>
    <w:rPr>
      <w:rFonts w:ascii="Times New Roman" w:hAnsi="Times New Roman"/>
      <w:sz w:val="20"/>
    </w:rPr>
  </w:style>
  <w:style w:type="character" w:styleId="Odkaznakoncovpoznmku" w:customStyle="1">
    <w:name w:val="Odkaz na koncovú poznámku"/>
    <w:basedOn w:val="DefaultParagraphFont"/>
    <w:uiPriority w:val="99"/>
    <w:semiHidden/>
    <w:qFormat/>
    <w:rsid w:val="00767cac"/>
    <w:rPr>
      <w:rFonts w:cs="Times New Roman"/>
      <w:vertAlign w:val="superscript"/>
    </w:rPr>
  </w:style>
  <w:style w:type="character" w:styleId="HlavikaChar" w:customStyle="1">
    <w:name w:val="Hlavička Char"/>
    <w:basedOn w:val="DefaultParagraphFont"/>
    <w:link w:val="Header"/>
    <w:uiPriority w:val="99"/>
    <w:qFormat/>
    <w:locked/>
    <w:rsid w:val="00767cac"/>
    <w:rPr>
      <w:rFonts w:ascii="Times New Roman" w:hAnsi="Times New Roman" w:cs="Times New Roman"/>
      <w:sz w:val="24"/>
    </w:rPr>
  </w:style>
  <w:style w:type="character" w:styleId="ZkladntextChar" w:customStyle="1">
    <w:name w:val="Základný text Char"/>
    <w:basedOn w:val="DefaultParagraphFont"/>
    <w:uiPriority w:val="99"/>
    <w:qFormat/>
    <w:locked/>
    <w:rsid w:val="00767cac"/>
    <w:rPr>
      <w:rFonts w:ascii="Times New Roman" w:hAnsi="Times New Roman" w:cs="Times New Roman"/>
      <w:sz w:val="24"/>
      <w:szCs w:val="24"/>
    </w:rPr>
  </w:style>
  <w:style w:type="character" w:styleId="PtaChar" w:customStyle="1">
    <w:name w:val="Päta Char"/>
    <w:basedOn w:val="DefaultParagraphFont"/>
    <w:link w:val="Footer"/>
    <w:uiPriority w:val="99"/>
    <w:qFormat/>
    <w:locked/>
    <w:rsid w:val="00767cac"/>
    <w:rPr>
      <w:rFonts w:ascii="Times New Roman" w:hAnsi="Times New Roman" w:cs="Times New Roman"/>
      <w:sz w:val="24"/>
    </w:rPr>
  </w:style>
  <w:style w:type="character" w:styleId="PolokahlavikatabukyChar" w:customStyle="1">
    <w:name w:val="Položka_hlavička tabuľky Char"/>
    <w:link w:val="Polokahlavikatabuky"/>
    <w:uiPriority w:val="99"/>
    <w:qFormat/>
    <w:locked/>
    <w:rsid w:val="00767cac"/>
    <w:rPr>
      <w:rFonts w:ascii="Times New Roman" w:hAnsi="Times New Roman"/>
      <w:b/>
      <w:color w:val="365F91"/>
      <w:sz w:val="16"/>
    </w:rPr>
  </w:style>
  <w:style w:type="character" w:styleId="Annotationreference">
    <w:name w:val="annotation reference"/>
    <w:basedOn w:val="DefaultParagraphFont"/>
    <w:uiPriority w:val="99"/>
    <w:semiHidden/>
    <w:qFormat/>
    <w:rsid w:val="00767cac"/>
    <w:rPr>
      <w:rFonts w:cs="Times New Roman"/>
      <w:sz w:val="16"/>
    </w:rPr>
  </w:style>
  <w:style w:type="character" w:styleId="TextkomentraChar" w:customStyle="1">
    <w:name w:val="Text komentára Char"/>
    <w:basedOn w:val="DefaultParagraphFont"/>
    <w:link w:val="Annotationtext"/>
    <w:uiPriority w:val="99"/>
    <w:semiHidden/>
    <w:qFormat/>
    <w:locked/>
    <w:rsid w:val="00767cac"/>
    <w:rPr>
      <w:rFonts w:ascii="Times New Roman" w:hAnsi="Times New Roman" w:cs="Times New Roman"/>
      <w:sz w:val="20"/>
      <w:szCs w:val="20"/>
    </w:rPr>
  </w:style>
  <w:style w:type="character" w:styleId="PredmetkomentraChar131" w:customStyle="1">
    <w:name w:val="Predmet komentára Char131"/>
    <w:basedOn w:val="TextkomentraChar"/>
    <w:uiPriority w:val="99"/>
    <w:semiHidden/>
    <w:qFormat/>
    <w:rPr>
      <w:rFonts w:ascii="Times New Roman" w:hAnsi="Times New Roman" w:cs="Times New Roman"/>
      <w:b/>
      <w:bCs/>
      <w:sz w:val="20"/>
      <w:szCs w:val="20"/>
      <w:lang w:val="x-none" w:eastAsia="en-US"/>
    </w:rPr>
  </w:style>
  <w:style w:type="character" w:styleId="PredmetkomentraChar" w:customStyle="1">
    <w:name w:val="Predmet komentára Char"/>
    <w:basedOn w:val="TextkomentraChar"/>
    <w:link w:val="Annotationsubject"/>
    <w:uiPriority w:val="99"/>
    <w:semiHidden/>
    <w:qFormat/>
    <w:locked/>
    <w:rPr>
      <w:rFonts w:ascii="Times New Roman" w:hAnsi="Times New Roman" w:cs="Times New Roman"/>
      <w:b/>
      <w:bCs/>
      <w:sz w:val="20"/>
      <w:szCs w:val="20"/>
      <w:lang w:val="x-none" w:eastAsia="en-US"/>
    </w:rPr>
  </w:style>
  <w:style w:type="character" w:styleId="PredmetkomentraChar1" w:customStyle="1">
    <w:name w:val="Predmet komentára Char1"/>
    <w:basedOn w:val="TextkomentraChar"/>
    <w:uiPriority w:val="99"/>
    <w:semiHidden/>
    <w:qFormat/>
    <w:rPr>
      <w:rFonts w:ascii="Times New Roman" w:hAnsi="Times New Roman" w:cs="Times New Roman"/>
      <w:b/>
      <w:bCs/>
      <w:sz w:val="20"/>
      <w:szCs w:val="20"/>
      <w:lang w:val="x-none" w:eastAsia="en-US"/>
    </w:rPr>
  </w:style>
  <w:style w:type="character" w:styleId="PredmetkomentraChar130" w:customStyle="1">
    <w:name w:val="Predmet komentára Char130"/>
    <w:basedOn w:val="TextkomentraChar"/>
    <w:uiPriority w:val="99"/>
    <w:semiHidden/>
    <w:qFormat/>
    <w:rPr>
      <w:rFonts w:ascii="Times New Roman" w:hAnsi="Times New Roman" w:cs="Times New Roman"/>
      <w:b/>
      <w:bCs/>
      <w:sz w:val="20"/>
      <w:szCs w:val="20"/>
      <w:lang w:val="x-none" w:eastAsia="en-US"/>
    </w:rPr>
  </w:style>
  <w:style w:type="character" w:styleId="PredmetkomentraChar129" w:customStyle="1">
    <w:name w:val="Predmet komentára Char129"/>
    <w:basedOn w:val="TextkomentraChar"/>
    <w:uiPriority w:val="99"/>
    <w:semiHidden/>
    <w:qFormat/>
    <w:rPr>
      <w:rFonts w:ascii="Times New Roman" w:hAnsi="Times New Roman" w:cs="Times New Roman"/>
      <w:b/>
      <w:bCs/>
      <w:sz w:val="20"/>
      <w:szCs w:val="20"/>
      <w:lang w:val="x-none" w:eastAsia="en-US"/>
    </w:rPr>
  </w:style>
  <w:style w:type="character" w:styleId="PredmetkomentraChar128" w:customStyle="1">
    <w:name w:val="Predmet komentára Char128"/>
    <w:basedOn w:val="TextkomentraChar"/>
    <w:uiPriority w:val="99"/>
    <w:semiHidden/>
    <w:qFormat/>
    <w:rPr>
      <w:rFonts w:ascii="Times New Roman" w:hAnsi="Times New Roman" w:cs="Times New Roman"/>
      <w:b/>
      <w:bCs/>
      <w:sz w:val="20"/>
      <w:szCs w:val="20"/>
      <w:lang w:val="x-none" w:eastAsia="en-US"/>
    </w:rPr>
  </w:style>
  <w:style w:type="character" w:styleId="PredmetkomentraChar127" w:customStyle="1">
    <w:name w:val="Predmet komentára Char127"/>
    <w:basedOn w:val="TextkomentraChar"/>
    <w:uiPriority w:val="99"/>
    <w:semiHidden/>
    <w:qFormat/>
    <w:rPr>
      <w:rFonts w:ascii="Times New Roman" w:hAnsi="Times New Roman" w:cs="Times New Roman"/>
      <w:b/>
      <w:bCs/>
      <w:sz w:val="20"/>
      <w:szCs w:val="20"/>
      <w:lang w:val="x-none" w:eastAsia="en-US"/>
    </w:rPr>
  </w:style>
  <w:style w:type="character" w:styleId="PredmetkomentraChar126" w:customStyle="1">
    <w:name w:val="Predmet komentára Char126"/>
    <w:basedOn w:val="TextkomentraChar"/>
    <w:uiPriority w:val="99"/>
    <w:semiHidden/>
    <w:qFormat/>
    <w:rPr>
      <w:rFonts w:ascii="Times New Roman" w:hAnsi="Times New Roman" w:cs="Times New Roman"/>
      <w:b/>
      <w:bCs/>
      <w:sz w:val="20"/>
      <w:szCs w:val="20"/>
      <w:lang w:val="x-none" w:eastAsia="en-US"/>
    </w:rPr>
  </w:style>
  <w:style w:type="character" w:styleId="PredmetkomentraChar125" w:customStyle="1">
    <w:name w:val="Predmet komentára Char125"/>
    <w:basedOn w:val="TextkomentraChar"/>
    <w:uiPriority w:val="99"/>
    <w:semiHidden/>
    <w:qFormat/>
    <w:rPr>
      <w:rFonts w:ascii="Times New Roman" w:hAnsi="Times New Roman" w:cs="Times New Roman"/>
      <w:b/>
      <w:bCs/>
      <w:sz w:val="20"/>
      <w:szCs w:val="20"/>
      <w:lang w:val="x-none" w:eastAsia="en-US"/>
    </w:rPr>
  </w:style>
  <w:style w:type="character" w:styleId="PredmetkomentraChar124" w:customStyle="1">
    <w:name w:val="Predmet komentára Char124"/>
    <w:basedOn w:val="TextkomentraChar"/>
    <w:uiPriority w:val="99"/>
    <w:semiHidden/>
    <w:qFormat/>
    <w:rPr>
      <w:rFonts w:ascii="Times New Roman" w:hAnsi="Times New Roman" w:cs="Times New Roman"/>
      <w:b/>
      <w:bCs/>
      <w:sz w:val="20"/>
      <w:szCs w:val="20"/>
      <w:lang w:val="x-none" w:eastAsia="en-US"/>
    </w:rPr>
  </w:style>
  <w:style w:type="character" w:styleId="PredmetkomentraChar123" w:customStyle="1">
    <w:name w:val="Predmet komentára Char123"/>
    <w:basedOn w:val="TextkomentraChar"/>
    <w:uiPriority w:val="99"/>
    <w:semiHidden/>
    <w:qFormat/>
    <w:rPr>
      <w:rFonts w:ascii="Times New Roman" w:hAnsi="Times New Roman" w:cs="Times New Roman"/>
      <w:b/>
      <w:bCs/>
      <w:sz w:val="20"/>
      <w:szCs w:val="20"/>
      <w:lang w:val="x-none" w:eastAsia="en-US"/>
    </w:rPr>
  </w:style>
  <w:style w:type="character" w:styleId="PredmetkomentraChar122" w:customStyle="1">
    <w:name w:val="Predmet komentára Char122"/>
    <w:basedOn w:val="TextkomentraChar"/>
    <w:uiPriority w:val="99"/>
    <w:semiHidden/>
    <w:qFormat/>
    <w:rPr>
      <w:rFonts w:ascii="Times New Roman" w:hAnsi="Times New Roman" w:cs="Times New Roman"/>
      <w:b/>
      <w:bCs/>
      <w:sz w:val="20"/>
      <w:szCs w:val="20"/>
    </w:rPr>
  </w:style>
  <w:style w:type="character" w:styleId="PredmetkomentraChar121" w:customStyle="1">
    <w:name w:val="Predmet komentára Char121"/>
    <w:basedOn w:val="TextkomentraChar"/>
    <w:uiPriority w:val="99"/>
    <w:semiHidden/>
    <w:qFormat/>
    <w:rPr>
      <w:rFonts w:ascii="Times New Roman" w:hAnsi="Times New Roman" w:cs="Times New Roman"/>
      <w:b/>
      <w:bCs/>
      <w:sz w:val="20"/>
      <w:szCs w:val="20"/>
    </w:rPr>
  </w:style>
  <w:style w:type="character" w:styleId="PredmetkomentraChar120" w:customStyle="1">
    <w:name w:val="Predmet komentára Char120"/>
    <w:basedOn w:val="TextkomentraChar"/>
    <w:uiPriority w:val="99"/>
    <w:semiHidden/>
    <w:qFormat/>
    <w:rPr>
      <w:rFonts w:ascii="Times New Roman" w:hAnsi="Times New Roman" w:cs="Times New Roman"/>
      <w:b/>
      <w:bCs/>
      <w:sz w:val="20"/>
      <w:szCs w:val="20"/>
    </w:rPr>
  </w:style>
  <w:style w:type="character" w:styleId="PredmetkomentraChar119" w:customStyle="1">
    <w:name w:val="Predmet komentára Char119"/>
    <w:basedOn w:val="TextkomentraChar"/>
    <w:uiPriority w:val="99"/>
    <w:semiHidden/>
    <w:qFormat/>
    <w:rPr>
      <w:rFonts w:ascii="Times New Roman" w:hAnsi="Times New Roman" w:cs="Times New Roman"/>
      <w:b/>
      <w:bCs/>
      <w:sz w:val="20"/>
      <w:szCs w:val="20"/>
    </w:rPr>
  </w:style>
  <w:style w:type="character" w:styleId="PredmetkomentraChar118" w:customStyle="1">
    <w:name w:val="Predmet komentára Char118"/>
    <w:basedOn w:val="TextkomentraChar"/>
    <w:uiPriority w:val="99"/>
    <w:semiHidden/>
    <w:qFormat/>
    <w:rPr>
      <w:rFonts w:ascii="Times New Roman" w:hAnsi="Times New Roman" w:cs="Times New Roman"/>
      <w:b/>
      <w:bCs/>
      <w:sz w:val="20"/>
      <w:szCs w:val="20"/>
    </w:rPr>
  </w:style>
  <w:style w:type="character" w:styleId="PredmetkomentraChar117" w:customStyle="1">
    <w:name w:val="Predmet komentára Char117"/>
    <w:basedOn w:val="TextkomentraChar"/>
    <w:uiPriority w:val="99"/>
    <w:semiHidden/>
    <w:qFormat/>
    <w:rPr>
      <w:rFonts w:ascii="Times New Roman" w:hAnsi="Times New Roman" w:cs="Times New Roman"/>
      <w:b/>
      <w:bCs/>
      <w:sz w:val="20"/>
      <w:szCs w:val="20"/>
    </w:rPr>
  </w:style>
  <w:style w:type="character" w:styleId="PredmetkomentraChar116" w:customStyle="1">
    <w:name w:val="Predmet komentára Char116"/>
    <w:basedOn w:val="TextkomentraChar"/>
    <w:uiPriority w:val="99"/>
    <w:semiHidden/>
    <w:qFormat/>
    <w:rPr>
      <w:rFonts w:ascii="Times New Roman" w:hAnsi="Times New Roman" w:cs="Times New Roman"/>
      <w:b/>
      <w:bCs/>
      <w:sz w:val="20"/>
      <w:szCs w:val="20"/>
    </w:rPr>
  </w:style>
  <w:style w:type="character" w:styleId="PredmetkomentraChar115" w:customStyle="1">
    <w:name w:val="Predmet komentára Char115"/>
    <w:basedOn w:val="TextkomentraChar"/>
    <w:uiPriority w:val="99"/>
    <w:semiHidden/>
    <w:qFormat/>
    <w:rPr>
      <w:rFonts w:ascii="Times New Roman" w:hAnsi="Times New Roman" w:cs="Times New Roman"/>
      <w:b/>
      <w:bCs/>
      <w:sz w:val="20"/>
      <w:szCs w:val="20"/>
    </w:rPr>
  </w:style>
  <w:style w:type="character" w:styleId="PredmetkomentraChar114" w:customStyle="1">
    <w:name w:val="Predmet komentára Char114"/>
    <w:basedOn w:val="TextkomentraChar"/>
    <w:uiPriority w:val="99"/>
    <w:semiHidden/>
    <w:qFormat/>
    <w:rPr>
      <w:rFonts w:ascii="Times New Roman" w:hAnsi="Times New Roman" w:cs="Times New Roman"/>
      <w:b/>
      <w:bCs/>
      <w:sz w:val="20"/>
      <w:szCs w:val="20"/>
    </w:rPr>
  </w:style>
  <w:style w:type="character" w:styleId="PredmetkomentraChar113" w:customStyle="1">
    <w:name w:val="Predmet komentára Char113"/>
    <w:basedOn w:val="TextkomentraChar"/>
    <w:uiPriority w:val="99"/>
    <w:semiHidden/>
    <w:qFormat/>
    <w:rPr>
      <w:rFonts w:ascii="Times New Roman" w:hAnsi="Times New Roman" w:cs="Times New Roman"/>
      <w:b/>
      <w:bCs/>
      <w:sz w:val="20"/>
      <w:szCs w:val="20"/>
    </w:rPr>
  </w:style>
  <w:style w:type="character" w:styleId="PredmetkomentraChar112" w:customStyle="1">
    <w:name w:val="Predmet komentára Char112"/>
    <w:basedOn w:val="TextkomentraChar"/>
    <w:uiPriority w:val="99"/>
    <w:semiHidden/>
    <w:qFormat/>
    <w:rsid w:val="00767cac"/>
    <w:rPr>
      <w:rFonts w:ascii="Times New Roman" w:hAnsi="Times New Roman" w:cs="Times New Roman"/>
      <w:b/>
      <w:bCs/>
      <w:sz w:val="20"/>
      <w:szCs w:val="20"/>
    </w:rPr>
  </w:style>
  <w:style w:type="character" w:styleId="PredmetkomentraChar111" w:customStyle="1">
    <w:name w:val="Predmet komentára Char111"/>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10" w:customStyle="1">
    <w:name w:val="Predmet komentára Char110"/>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9" w:customStyle="1">
    <w:name w:val="Predmet komentára Char19"/>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8" w:customStyle="1">
    <w:name w:val="Predmet komentára Char18"/>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7" w:customStyle="1">
    <w:name w:val="Predmet komentára Char17"/>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6" w:customStyle="1">
    <w:name w:val="Predmet komentára Char16"/>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5" w:customStyle="1">
    <w:name w:val="Predmet komentára Char15"/>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4" w:customStyle="1">
    <w:name w:val="Predmet komentára Char14"/>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3" w:customStyle="1">
    <w:name w:val="Predmet komentára Char13"/>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2" w:customStyle="1">
    <w:name w:val="Predmet komentára Char12"/>
    <w:basedOn w:val="TextkomentraChar"/>
    <w:uiPriority w:val="99"/>
    <w:semiHidden/>
    <w:qFormat/>
    <w:rsid w:val="00767cac"/>
    <w:rPr>
      <w:rFonts w:ascii="Times New Roman" w:hAnsi="Times New Roman" w:cs="Times New Roman"/>
      <w:b/>
      <w:bCs/>
      <w:sz w:val="20"/>
      <w:szCs w:val="20"/>
      <w:lang w:val="x-none" w:eastAsia="en-US"/>
    </w:rPr>
  </w:style>
  <w:style w:type="character" w:styleId="PredmetkomentraChar11" w:customStyle="1">
    <w:name w:val="Predmet komentára Char11"/>
    <w:basedOn w:val="TextkomentraChar"/>
    <w:uiPriority w:val="99"/>
    <w:semiHidden/>
    <w:qFormat/>
    <w:rsid w:val="00767cac"/>
    <w:rPr>
      <w:rFonts w:ascii="Times New Roman" w:hAnsi="Times New Roman" w:cs="Times New Roman"/>
      <w:b/>
      <w:bCs/>
      <w:sz w:val="20"/>
      <w:szCs w:val="20"/>
      <w:lang w:val="x-none" w:eastAsia="en-US"/>
    </w:rPr>
  </w:style>
  <w:style w:type="character" w:styleId="TextpoznmkypodiarouChar" w:customStyle="1">
    <w:name w:val="Text poznámky pod čiarou Char"/>
    <w:basedOn w:val="DefaultParagraphFont"/>
    <w:link w:val="Footnote"/>
    <w:uiPriority w:val="99"/>
    <w:qFormat/>
    <w:locked/>
    <w:rsid w:val="00767cac"/>
    <w:rPr>
      <w:rFonts w:ascii="Times New Roman" w:hAnsi="Times New Roman" w:cs="Times New Roman"/>
      <w:sz w:val="20"/>
      <w:szCs w:val="20"/>
    </w:rPr>
  </w:style>
  <w:style w:type="character" w:styleId="FootnoteCharacters">
    <w:name w:val="Footnote Characters"/>
    <w:basedOn w:val="DefaultParagraphFont"/>
    <w:uiPriority w:val="99"/>
    <w:qFormat/>
    <w:rsid w:val="00767cac"/>
    <w:rPr>
      <w:rFonts w:cs="Times New Roman"/>
      <w:vertAlign w:val="superscript"/>
    </w:rPr>
  </w:style>
  <w:style w:type="character" w:styleId="FootnoteAnchor">
    <w:name w:val="Footnote Anchor"/>
    <w:rPr>
      <w:rFonts w:cs="Times New Roman"/>
      <w:vertAlign w:val="superscript"/>
    </w:rPr>
  </w:style>
  <w:style w:type="character" w:styleId="InternetLink">
    <w:name w:val="Hyperlink"/>
    <w:basedOn w:val="DefaultParagraphFont"/>
    <w:uiPriority w:val="99"/>
    <w:unhideWhenUsed/>
    <w:rsid w:val="00d94513"/>
    <w:rPr>
      <w:color w:val="0563C1" w:themeColor="hyperlink"/>
      <w:u w:val="single"/>
    </w:rPr>
  </w:style>
  <w:style w:type="character" w:styleId="OdsekzoznamuChar" w:customStyle="1">
    <w:name w:val="Odsek zoznamu Char"/>
    <w:link w:val="ListParagraph"/>
    <w:uiPriority w:val="99"/>
    <w:qFormat/>
    <w:locked/>
    <w:rsid w:val="00d94513"/>
    <w:rPr>
      <w:rFonts w:cs="Times New Roman"/>
      <w:sz w:val="22"/>
      <w:szCs w:val="22"/>
    </w:rPr>
  </w:style>
  <w:style w:type="character" w:styleId="Zarkazkladnhotextu2Char" w:customStyle="1">
    <w:name w:val="Zarážka základného textu 2 Char"/>
    <w:basedOn w:val="DefaultParagraphFont"/>
    <w:link w:val="BodyTextIndent2"/>
    <w:uiPriority w:val="99"/>
    <w:semiHidden/>
    <w:qFormat/>
    <w:rsid w:val="00d94513"/>
    <w:rPr>
      <w:rFonts w:cs="Times New Roman"/>
      <w:sz w:val="22"/>
      <w:szCs w:val="22"/>
      <w:lang w:eastAsia="en-US"/>
    </w:rPr>
  </w:style>
  <w:style w:type="character" w:styleId="Strong">
    <w:name w:val="Strong"/>
    <w:basedOn w:val="DefaultParagraphFont"/>
    <w:uiPriority w:val="22"/>
    <w:qFormat/>
    <w:locked/>
    <w:rsid w:val="00d94513"/>
    <w:rPr>
      <w:b/>
      <w:bCs/>
    </w:rPr>
  </w:style>
  <w:style w:type="character" w:styleId="Tl3" w:customStyle="1">
    <w:name w:val="Štýl3"/>
    <w:basedOn w:val="DefaultParagraphFont"/>
    <w:uiPriority w:val="1"/>
    <w:qFormat/>
    <w:rsid w:val="00610356"/>
    <w:rPr>
      <w:rFonts w:ascii="Calibri" w:hAnsi="Calibri"/>
      <w:i/>
      <w:sz w:val="24"/>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ZkladntextChar"/>
    <w:uiPriority w:val="99"/>
    <w:rsid w:val="00767cac"/>
    <w:pPr>
      <w:spacing w:lineRule="auto" w:line="240" w:before="0" w:after="120"/>
    </w:pPr>
    <w:rPr>
      <w:rFonts w:ascii="Times New Roman" w:hAnsi="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TextbublinyChar"/>
    <w:uiPriority w:val="99"/>
    <w:semiHidden/>
    <w:qFormat/>
    <w:rsid w:val="00767cac"/>
    <w:pPr>
      <w:spacing w:lineRule="auto" w:line="240" w:before="0" w:after="0"/>
    </w:pPr>
    <w:rPr>
      <w:rFonts w:ascii="Tahoma" w:hAnsi="Tahoma" w:cs="Tahoma"/>
      <w:sz w:val="16"/>
      <w:szCs w:val="16"/>
    </w:rPr>
  </w:style>
  <w:style w:type="paragraph" w:styleId="Poloka" w:customStyle="1">
    <w:name w:val="Položka"/>
    <w:basedOn w:val="Normal"/>
    <w:link w:val="PolokaChar"/>
    <w:uiPriority w:val="99"/>
    <w:qFormat/>
    <w:rsid w:val="00767cac"/>
    <w:pPr/>
    <w:rPr>
      <w:rFonts w:ascii="Times New Roman" w:hAnsi="Times New Roman"/>
      <w:b/>
      <w:sz w:val="16"/>
      <w:szCs w:val="20"/>
      <w:lang w:val="x-none" w:eastAsia="x-none"/>
    </w:rPr>
  </w:style>
  <w:style w:type="paragraph" w:styleId="NOVACAST" w:customStyle="1">
    <w:name w:val="NOVACAST"/>
    <w:basedOn w:val="Normal"/>
    <w:link w:val="NOVACASTChar"/>
    <w:uiPriority w:val="99"/>
    <w:qFormat/>
    <w:rsid w:val="00767cac"/>
    <w:pPr>
      <w:spacing w:before="0" w:after="0"/>
    </w:pPr>
    <w:rPr>
      <w:rFonts w:ascii="Times New Roman" w:hAnsi="Times New Roman"/>
      <w:b/>
      <w:color w:val="365F91"/>
      <w:sz w:val="28"/>
      <w:szCs w:val="20"/>
      <w:lang w:val="x-none" w:eastAsia="x-none"/>
    </w:rPr>
  </w:style>
  <w:style w:type="paragraph" w:styleId="Polokakomentr" w:customStyle="1">
    <w:name w:val="Položka_komentár"/>
    <w:basedOn w:val="Poloka"/>
    <w:link w:val="PolokakomentrChar"/>
    <w:uiPriority w:val="99"/>
    <w:qFormat/>
    <w:rsid w:val="00767cac"/>
    <w:pPr>
      <w:spacing w:lineRule="auto" w:line="240" w:before="0" w:after="0"/>
    </w:pPr>
    <w:rPr>
      <w:b w:val="false"/>
      <w:i/>
      <w:sz w:val="20"/>
    </w:rPr>
  </w:style>
  <w:style w:type="paragraph" w:styleId="NOVACAST2" w:customStyle="1">
    <w:name w:val="NOVACAST_2"/>
    <w:basedOn w:val="NOVACAST"/>
    <w:link w:val="NOVACAST2Char"/>
    <w:uiPriority w:val="99"/>
    <w:qFormat/>
    <w:rsid w:val="00767cac"/>
    <w:pPr/>
    <w:rPr>
      <w:sz w:val="24"/>
    </w:rPr>
  </w:style>
  <w:style w:type="paragraph" w:styleId="NOVACAST3" w:customStyle="1">
    <w:name w:val="NOVACAST_3"/>
    <w:basedOn w:val="Poloka"/>
    <w:link w:val="NOVACAST3Char"/>
    <w:uiPriority w:val="99"/>
    <w:qFormat/>
    <w:rsid w:val="00767cac"/>
    <w:pPr>
      <w:spacing w:before="0" w:after="0"/>
    </w:pPr>
    <w:rPr>
      <w:color w:val="365F91"/>
      <w:sz w:val="20"/>
    </w:rPr>
  </w:style>
  <w:style w:type="paragraph" w:styleId="Textkoncovejpoznmky" w:customStyle="1">
    <w:name w:val="Text koncovej poznámky"/>
    <w:basedOn w:val="Normal"/>
    <w:link w:val="TextkoncovejpoznmkyChar"/>
    <w:uiPriority w:val="99"/>
    <w:qFormat/>
    <w:rsid w:val="00767cac"/>
    <w:pPr>
      <w:spacing w:lineRule="auto" w:line="240" w:before="0" w:after="0"/>
      <w:jc w:val="both"/>
    </w:pPr>
    <w:rPr>
      <w:rFonts w:ascii="Times New Roman" w:hAnsi="Times New Roman"/>
      <w:sz w:val="16"/>
      <w:szCs w:val="20"/>
    </w:rPr>
  </w:style>
  <w:style w:type="paragraph" w:styleId="Vysvetlivka" w:customStyle="1">
    <w:name w:val="Vysvetlivka"/>
    <w:basedOn w:val="Polokakomentr"/>
    <w:link w:val="VysvetlivkaChar"/>
    <w:uiPriority w:val="99"/>
    <w:qFormat/>
    <w:rsid w:val="00767cac"/>
    <w:pPr>
      <w:jc w:val="both"/>
    </w:pPr>
    <w:rPr>
      <w:i w:val="false"/>
    </w:rPr>
  </w:style>
  <w:style w:type="paragraph" w:styleId="Explanation" w:customStyle="1">
    <w:name w:val="Explanation"/>
    <w:basedOn w:val="Normal"/>
    <w:uiPriority w:val="99"/>
    <w:qFormat/>
    <w:rsid w:val="00767cac"/>
    <w:pPr>
      <w:spacing w:lineRule="auto" w:line="240" w:before="0" w:after="0"/>
    </w:pPr>
    <w:rPr>
      <w:rFonts w:ascii="Times New Roman" w:hAnsi="Times New Roman"/>
      <w:i/>
      <w:sz w:val="18"/>
      <w:szCs w:val="18"/>
      <w:lang w:eastAsia="sk-SK"/>
    </w:rPr>
  </w:style>
  <w:style w:type="paragraph" w:styleId="HeaderandFooter">
    <w:name w:val="Header and Footer"/>
    <w:basedOn w:val="Normal"/>
    <w:qFormat/>
    <w:pPr/>
    <w:rPr/>
  </w:style>
  <w:style w:type="paragraph" w:styleId="Header">
    <w:name w:val="Header"/>
    <w:basedOn w:val="Normal"/>
    <w:link w:val="HlavikaChar"/>
    <w:uiPriority w:val="99"/>
    <w:rsid w:val="00767cac"/>
    <w:pPr>
      <w:tabs>
        <w:tab w:val="clear" w:pos="708"/>
        <w:tab w:val="center" w:pos="4536" w:leader="none"/>
        <w:tab w:val="right" w:pos="9072" w:leader="none"/>
      </w:tabs>
      <w:spacing w:lineRule="auto" w:line="240" w:before="0" w:after="0"/>
    </w:pPr>
    <w:rPr>
      <w:rFonts w:ascii="Times New Roman" w:hAnsi="Times New Roman"/>
      <w:sz w:val="24"/>
    </w:rPr>
  </w:style>
  <w:style w:type="paragraph" w:styleId="Footer">
    <w:name w:val="Footer"/>
    <w:basedOn w:val="Normal"/>
    <w:link w:val="PtaChar"/>
    <w:uiPriority w:val="99"/>
    <w:rsid w:val="00767cac"/>
    <w:pPr>
      <w:tabs>
        <w:tab w:val="clear" w:pos="708"/>
        <w:tab w:val="center" w:pos="4536" w:leader="none"/>
        <w:tab w:val="right" w:pos="9072" w:leader="none"/>
      </w:tabs>
      <w:spacing w:lineRule="auto" w:line="240" w:before="0" w:after="0"/>
    </w:pPr>
    <w:rPr>
      <w:rFonts w:ascii="Times New Roman" w:hAnsi="Times New Roman"/>
      <w:sz w:val="24"/>
    </w:rPr>
  </w:style>
  <w:style w:type="paragraph" w:styleId="Polokahlavikatabuky" w:customStyle="1">
    <w:name w:val="Položka_hlavička tabuľky"/>
    <w:basedOn w:val="Poloka"/>
    <w:link w:val="PolokahlavikatabukyChar"/>
    <w:uiPriority w:val="99"/>
    <w:qFormat/>
    <w:rsid w:val="00767cac"/>
    <w:pPr>
      <w:spacing w:before="0" w:after="0"/>
    </w:pPr>
    <w:rPr>
      <w:color w:val="365F91"/>
    </w:rPr>
  </w:style>
  <w:style w:type="paragraph" w:styleId="NoSpacing">
    <w:name w:val="No Spacing"/>
    <w:uiPriority w:val="99"/>
    <w:qFormat/>
    <w:rsid w:val="00767cac"/>
    <w:pPr>
      <w:widowControl/>
      <w:bidi w:val="0"/>
      <w:spacing w:before="0" w:after="0"/>
      <w:jc w:val="left"/>
    </w:pPr>
    <w:rPr>
      <w:rFonts w:ascii="Times New Roman" w:hAnsi="Times New Roman" w:cs="Times New Roman" w:eastAsia="Times New Roman"/>
      <w:color w:val="auto"/>
      <w:kern w:val="0"/>
      <w:sz w:val="24"/>
      <w:szCs w:val="22"/>
      <w:lang w:eastAsia="en-US" w:val="sk-SK" w:bidi="ar-SA"/>
    </w:rPr>
  </w:style>
  <w:style w:type="paragraph" w:styleId="ListParagraph">
    <w:name w:val="List Paragraph"/>
    <w:basedOn w:val="Normal"/>
    <w:link w:val="OdsekzoznamuChar"/>
    <w:uiPriority w:val="34"/>
    <w:qFormat/>
    <w:rsid w:val="00767cac"/>
    <w:pPr>
      <w:spacing w:before="0" w:after="200"/>
      <w:ind w:left="720" w:hanging="0"/>
      <w:contextualSpacing/>
    </w:pPr>
    <w:rPr>
      <w:lang w:eastAsia="sk-SK"/>
    </w:rPr>
  </w:style>
  <w:style w:type="paragraph" w:styleId="Count" w:customStyle="1">
    <w:name w:val="Count"/>
    <w:basedOn w:val="Normal"/>
    <w:uiPriority w:val="99"/>
    <w:qFormat/>
    <w:rsid w:val="00767cac"/>
    <w:pPr>
      <w:spacing w:lineRule="auto" w:line="240" w:before="0" w:after="0"/>
      <w:ind w:left="936" w:hanging="709"/>
    </w:pPr>
    <w:rPr>
      <w:rFonts w:ascii="Times New Roman" w:hAnsi="Times New Roman"/>
      <w:bCs/>
      <w:szCs w:val="24"/>
      <w:lang w:eastAsia="sk-SK"/>
    </w:rPr>
  </w:style>
  <w:style w:type="paragraph" w:styleId="Annotationtext">
    <w:name w:val="annotation text"/>
    <w:basedOn w:val="Normal"/>
    <w:link w:val="TextkomentraChar"/>
    <w:uiPriority w:val="99"/>
    <w:semiHidden/>
    <w:qFormat/>
    <w:rsid w:val="00767cac"/>
    <w:pPr>
      <w:spacing w:lineRule="auto" w:line="240"/>
    </w:pPr>
    <w:rPr>
      <w:rFonts w:ascii="Times New Roman" w:hAnsi="Times New Roman"/>
      <w:sz w:val="20"/>
      <w:szCs w:val="20"/>
    </w:rPr>
  </w:style>
  <w:style w:type="paragraph" w:styleId="Annotationsubject">
    <w:name w:val="annotation subject"/>
    <w:basedOn w:val="Annotationtext"/>
    <w:next w:val="Annotationtext"/>
    <w:link w:val="PredmetkomentraChar"/>
    <w:uiPriority w:val="99"/>
    <w:semiHidden/>
    <w:qFormat/>
    <w:rsid w:val="00767cac"/>
    <w:pPr/>
    <w:rPr>
      <w:b/>
      <w:szCs w:val="22"/>
    </w:rPr>
  </w:style>
  <w:style w:type="paragraph" w:styleId="Footnote">
    <w:name w:val="Footnote Text"/>
    <w:basedOn w:val="Normal"/>
    <w:link w:val="TextpoznmkypodiarouChar"/>
    <w:uiPriority w:val="99"/>
    <w:rsid w:val="00767cac"/>
    <w:pPr>
      <w:spacing w:lineRule="auto" w:line="240" w:before="0" w:after="0"/>
    </w:pPr>
    <w:rPr>
      <w:rFonts w:ascii="Times New Roman" w:hAnsi="Times New Roman"/>
      <w:sz w:val="20"/>
      <w:szCs w:val="20"/>
    </w:rPr>
  </w:style>
  <w:style w:type="paragraph" w:styleId="Revision">
    <w:name w:val="Revision"/>
    <w:uiPriority w:val="99"/>
    <w:semiHidden/>
    <w:qFormat/>
    <w:rsid w:val="00767cac"/>
    <w:pPr>
      <w:widowControl/>
      <w:bidi w:val="0"/>
      <w:spacing w:before="0" w:after="0"/>
      <w:jc w:val="left"/>
    </w:pPr>
    <w:rPr>
      <w:rFonts w:ascii="Times New Roman" w:hAnsi="Times New Roman" w:cs="Times New Roman" w:eastAsia="Times New Roman"/>
      <w:color w:val="auto"/>
      <w:kern w:val="0"/>
      <w:sz w:val="24"/>
      <w:szCs w:val="22"/>
      <w:lang w:eastAsia="en-US" w:val="sk-SK" w:bidi="ar-SA"/>
    </w:rPr>
  </w:style>
  <w:style w:type="paragraph" w:styleId="BodyTextIndent2">
    <w:name w:val="Body Text Indent 2"/>
    <w:basedOn w:val="Normal"/>
    <w:link w:val="Zarkazkladnhotextu2Char"/>
    <w:uiPriority w:val="99"/>
    <w:semiHidden/>
    <w:unhideWhenUsed/>
    <w:qFormat/>
    <w:rsid w:val="00d94513"/>
    <w:pPr>
      <w:spacing w:lineRule="auto" w:line="480" w:before="0" w:after="120"/>
      <w:ind w:left="283" w:hanging="0"/>
    </w:pPr>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Times New Roman" w:cs="Times New Roman"/>
      <w:color w:val="auto"/>
      <w:kern w:val="0"/>
      <w:sz w:val="22"/>
      <w:szCs w:val="22"/>
      <w:lang w:val="sk-SK" w:bidi="ar-SA" w:eastAsia="sk-SK"/>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99"/>
    <w:rsid w:val="00767ca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platnenie.sk/" TargetMode="External"/><Relationship Id="rId3" Type="http://schemas.openxmlformats.org/officeDocument/2006/relationships/hyperlink" Target="https://uplatnenie.sk/?degree=V&#352;&amp;vs=717000000&amp;faculty=717050000&amp;field=7898T00&amp;year=2018" TargetMode="External"/><Relationship Id="rId4" Type="http://schemas.openxmlformats.org/officeDocument/2006/relationships/hyperlink" Target="mailto:peter.kocak@unipo.sk" TargetMode="External"/><Relationship Id="rId5" Type="http://schemas.openxmlformats.org/officeDocument/2006/relationships/hyperlink" Target="mailto:vladislav.gre&#353;lik@unipo.sk" TargetMode="External"/><Relationship Id="rId6" Type="http://schemas.openxmlformats.org/officeDocument/2006/relationships/hyperlink" Target="mailto:martin.zbojan@unipo.sk" TargetMode="External"/><Relationship Id="rId7" Type="http://schemas.openxmlformats.org/officeDocument/2006/relationships/hyperlink" Target="mailto:jaroslav.ondo@unipo.sk" TargetMode="External"/><Relationship Id="rId8" Type="http://schemas.openxmlformats.org/officeDocument/2006/relationships/hyperlink" Target="mailto:vladimir.ganaj@unipo.sk" TargetMode="External"/><Relationship Id="rId9" Type="http://schemas.openxmlformats.org/officeDocument/2006/relationships/hyperlink" Target="https://www.unipo.sk/public/media/0190/STUD 24.9.18 pdf.pdf" TargetMode="External"/><Relationship Id="rId10" Type="http://schemas.openxmlformats.org/officeDocument/2006/relationships/hyperlink" Target="https://www.unipo.sk/public/media/files/docs/u/svk/disciplinarny_poriadok_08.pdf" TargetMode="External"/><Relationship Id="rId11" Type="http://schemas.openxmlformats.org/officeDocument/2006/relationships/hyperlink" Target="https://www.unipo.sk/public/media/0190/STUD 24.9.18 pdf.pdf" TargetMode="External"/><Relationship Id="rId12" Type="http://schemas.openxmlformats.org/officeDocument/2006/relationships/hyperlink" Target="https://www.unipo.sk/zahranicie/erasmus/studenti/" TargetMode="External"/><Relationship Id="rId13" Type="http://schemas.openxmlformats.org/officeDocument/2006/relationships/hyperlink" Target="https://www.unipo.sk/public/media/0190/METODIKA_&#352;&#352;P_april2017.pdf" TargetMode="External"/><Relationship Id="rId14" Type="http://schemas.openxmlformats.org/officeDocument/2006/relationships/hyperlink" Target="https://www.aspi.sk/products/lawText/1/88314/1/2/zakon-c-94-2017-zz-ktorym-sa-meni-a-doplna-zakon-c-9-2010-zz-o-staznostiach-v-zneni-neskorsich-predpisov/zakon-c-94-2017-zz-ktorym-sa-meni-a-doplna-zakon-c-9-2010-zz-o-staznostiach-v-zneni-neskorsich-predpisov" TargetMode="External"/><Relationship Id="rId15" Type="http://schemas.openxmlformats.org/officeDocument/2006/relationships/hyperlink" Target="https://www.unipo.sk/public/media/0190/STUD 24.9.18 pdf.pdf" TargetMode="External"/><Relationship Id="rId16" Type="http://schemas.openxmlformats.org/officeDocument/2006/relationships/hyperlink" Target="https://student.unipo.sk/maisportal/studijneProgramy.mais" TargetMode="External"/><Relationship Id="rId17" Type="http://schemas.openxmlformats.org/officeDocument/2006/relationships/hyperlink" Target="https://www.unipo.sk/vseobecne-informacie/studenti/harmonogram/" TargetMode="External"/><Relationship Id="rId18" Type="http://schemas.openxmlformats.org/officeDocument/2006/relationships/hyperlink" Target="https://student.unipo.sk/maisportal/rozvrhy.mais" TargetMode="External"/><Relationship Id="rId19" Type="http://schemas.openxmlformats.org/officeDocument/2006/relationships/hyperlink" Target="mailto:peter.kocak@unipo.sk" TargetMode="External"/><Relationship Id="rId20" Type="http://schemas.openxmlformats.org/officeDocument/2006/relationships/hyperlink" Target="mailto:peter.kocak@unipo.sk" TargetMode="External"/><Relationship Id="rId21" Type="http://schemas.openxmlformats.org/officeDocument/2006/relationships/hyperlink" Target="mailto:vladislav.gre&#353;lik@unipo.sk" TargetMode="External"/><Relationship Id="rId22" Type="http://schemas.openxmlformats.org/officeDocument/2006/relationships/hyperlink" Target="mailto:martin.zbojan@unipo.sk" TargetMode="External"/><Relationship Id="rId23" Type="http://schemas.openxmlformats.org/officeDocument/2006/relationships/hyperlink" Target="mailto:peter.kocak@unipo.sk" TargetMode="External"/><Relationship Id="rId24" Type="http://schemas.openxmlformats.org/officeDocument/2006/relationships/hyperlink" Target="mailto:vladislav.gre&#353;lik@unipo.sk" TargetMode="External"/><Relationship Id="rId25" Type="http://schemas.openxmlformats.org/officeDocument/2006/relationships/hyperlink" Target="mailto:martin.zbojan@unipo.sk" TargetMode="External"/><Relationship Id="rId26" Type="http://schemas.openxmlformats.org/officeDocument/2006/relationships/hyperlink" Target="mailto:peter.kocak@unipo.sk" TargetMode="External"/><Relationship Id="rId27" Type="http://schemas.openxmlformats.org/officeDocument/2006/relationships/hyperlink" Target="mailto:vladislav.gre&#353;lik@unipo.sk" TargetMode="External"/><Relationship Id="rId28" Type="http://schemas.openxmlformats.org/officeDocument/2006/relationships/hyperlink" Target="mailto:martin.zbojan@unipo.sk" TargetMode="External"/><Relationship Id="rId29" Type="http://schemas.openxmlformats.org/officeDocument/2006/relationships/hyperlink" Target="mailto:jaroslav.ondo@unipo.sk" TargetMode="External"/><Relationship Id="rId30" Type="http://schemas.openxmlformats.org/officeDocument/2006/relationships/hyperlink" Target="mailto:vladimir.ganaj@unipo.sk" TargetMode="External"/><Relationship Id="rId31" Type="http://schemas.openxmlformats.org/officeDocument/2006/relationships/hyperlink" Target="mailto:peter.kocak@unipo.sk" TargetMode="External"/><Relationship Id="rId32" Type="http://schemas.openxmlformats.org/officeDocument/2006/relationships/hyperlink" Target="mailto:vladislav.gre&#353;lik@unipo.sk" TargetMode="External"/><Relationship Id="rId33" Type="http://schemas.openxmlformats.org/officeDocument/2006/relationships/hyperlink" Target="mailto:martin.zbojan@unipo.sk" TargetMode="External"/><Relationship Id="rId34" Type="http://schemas.openxmlformats.org/officeDocument/2006/relationships/hyperlink" Target="mailto:peter.kocak@unipo.sk" TargetMode="External"/><Relationship Id="rId35" Type="http://schemas.openxmlformats.org/officeDocument/2006/relationships/hyperlink" Target="mailto:vladislav.gre&#353;lik@unipo.sk" TargetMode="External"/><Relationship Id="rId36" Type="http://schemas.openxmlformats.org/officeDocument/2006/relationships/hyperlink" Target="mailto:martin.zbojan@unipo.sk" TargetMode="External"/><Relationship Id="rId37" Type="http://schemas.openxmlformats.org/officeDocument/2006/relationships/hyperlink" Target="mailto:jaroslav.ondo@unipo.sk" TargetMode="External"/><Relationship Id="rId38" Type="http://schemas.openxmlformats.org/officeDocument/2006/relationships/hyperlink" Target="mailto:vladimir.ganaj@unipo.sk" TargetMode="External"/><Relationship Id="rId39" Type="http://schemas.openxmlformats.org/officeDocument/2006/relationships/hyperlink" Target="mailto:jaroslav.ondo@unipo.sk" TargetMode="External"/><Relationship Id="rId40" Type="http://schemas.openxmlformats.org/officeDocument/2006/relationships/hyperlink" Target="https://www.unipo.sk/filozoficka-fakulta/ihvu/kvvau" TargetMode="External"/><Relationship Id="rId41" Type="http://schemas.openxmlformats.org/officeDocument/2006/relationships/hyperlink" Target="tel:051/7570 834" TargetMode="External"/><Relationship Id="rId42" Type="http://schemas.openxmlformats.org/officeDocument/2006/relationships/hyperlink" Target="mailto:katarina.mikitova@unipo.sk" TargetMode="External"/><Relationship Id="rId43" Type="http://schemas.openxmlformats.org/officeDocument/2006/relationships/hyperlink" Target="tel:051/7570164" TargetMode="External"/><Relationship Id="rId44" Type="http://schemas.openxmlformats.org/officeDocument/2006/relationships/hyperlink" Target="mailto:katarina.pavlikova@unipo.sk" TargetMode="External"/><Relationship Id="rId45" Type="http://schemas.openxmlformats.org/officeDocument/2006/relationships/hyperlink" Target="tel:051/7570 172" TargetMode="External"/><Relationship Id="rId46" Type="http://schemas.openxmlformats.org/officeDocument/2006/relationships/hyperlink" Target="mailto:katarina.kuzmova@unipo.sk" TargetMode="External"/><Relationship Id="rId47" Type="http://schemas.openxmlformats.org/officeDocument/2006/relationships/hyperlink" Target="tel:051/7570 169" TargetMode="External"/><Relationship Id="rId48" Type="http://schemas.openxmlformats.org/officeDocument/2006/relationships/hyperlink" Target="mailto:anna.zamborska@unipo.sk" TargetMode="External"/><Relationship Id="rId49" Type="http://schemas.openxmlformats.org/officeDocument/2006/relationships/hyperlink" Target="tel:051/7570830" TargetMode="External"/><Relationship Id="rId50" Type="http://schemas.openxmlformats.org/officeDocument/2006/relationships/hyperlink" Target="mailto:martina.muchova@unipo.sk" TargetMode="External"/><Relationship Id="rId51" Type="http://schemas.openxmlformats.org/officeDocument/2006/relationships/hyperlink" Target="https://elearning.unipo.sk/" TargetMode="External"/><Relationship Id="rId52" Type="http://schemas.openxmlformats.org/officeDocument/2006/relationships/hyperlink" Target="https://www.unipo.sk/fakulta-humanitnych-prirodnych-vied/katedry/upap-fhpv/oppp/statut/" TargetMode="External"/><Relationship Id="rId53" Type="http://schemas.openxmlformats.org/officeDocument/2006/relationships/hyperlink" Target="https://www.unipo.sk/fakulta-humanitnych-prirodnych-vied/katedry/upap-fhpv/oppp/zoznam-skol/" TargetMode="External"/><Relationship Id="rId54" Type="http://schemas.openxmlformats.org/officeDocument/2006/relationships/hyperlink" Target="http://upc.unipo.sk/" TargetMode="External"/><Relationship Id="rId55" Type="http://schemas.openxmlformats.org/officeDocument/2006/relationships/hyperlink" Target="mailto:jaroslav.ondo@unipo.sk" TargetMode="External"/><Relationship Id="rId56" Type="http://schemas.openxmlformats.org/officeDocument/2006/relationships/hyperlink" Target="https://www.unipo.sk/zahranicie/erasmus/studium/" TargetMode="External"/><Relationship Id="rId57" Type="http://schemas.openxmlformats.org/officeDocument/2006/relationships/hyperlink" Target="https://www.unipo.sk/zahranicie/erasmus/staze/" TargetMode="External"/><Relationship Id="rId58" Type="http://schemas.openxmlformats.org/officeDocument/2006/relationships/hyperlink" Target="https://www.cvtisr.sk/cvti-sr-vedecka-kniznica/informacie-o-skolstve/zber-udajov/zber-udajov.html?page_id=9986" TargetMode="External"/><Relationship Id="rId59" Type="http://schemas.openxmlformats.org/officeDocument/2006/relationships/hyperlink" Target="https://www.cvtisr.sk/cvti-sr-vedecka-kniznica/informacie-o-skolstve/skolstvo/vysoke-skoly/prijimacky-na-vysoke-skoly/rebricky.html?page_id=10299" TargetMode="External"/><Relationship Id="rId60" Type="http://schemas.openxmlformats.org/officeDocument/2006/relationships/hyperlink" Target="https://www.cvtisr.sk/cvti-sr-vedecka-kniznica/informacie-o-skolstve/statistiky/statistika-prijimacieho-konania-na-vysoke-skoly-sr.html?page_id=9723" TargetMode="External"/><Relationship Id="rId61" Type="http://schemas.openxmlformats.org/officeDocument/2006/relationships/footer" Target="footer1.xml"/><Relationship Id="rId62" Type="http://schemas.openxmlformats.org/officeDocument/2006/relationships/footer" Target="footer2.xml"/><Relationship Id="rId63" Type="http://schemas.openxmlformats.org/officeDocument/2006/relationships/footnotes" Target="footnote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Relationship Id="rId68" Type="http://schemas.openxmlformats.org/officeDocument/2006/relationships/glossaryDocument" Target="glossary/document.xml"/><Relationship Id="rId69"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B917EF81A9440FAF85A4308BE3A8A6"/>
        <w:category>
          <w:name w:val="Všeobecné"/>
          <w:gallery w:val="placeholder"/>
        </w:category>
        <w:types>
          <w:type w:val="bbPlcHdr"/>
        </w:types>
        <w:behaviors>
          <w:behavior w:val="content"/>
        </w:behaviors>
        <w:guid w:val="{ABC3679D-9634-481E-9091-F278CF73ED44}"/>
      </w:docPartPr>
      <w:docPartBody>
        <w:p w:rsidR="00A40BAE" w:rsidRDefault="00E604FF" w:rsidP="00E604FF">
          <w:pPr>
            <w:pStyle w:val="42B917EF81A9440FAF85A4308BE3A8A6"/>
          </w:pPr>
          <w:r>
            <w:rPr>
              <w:rStyle w:val="Zstupntext"/>
            </w:rPr>
            <w:t>Vyberte položku.</w:t>
          </w:r>
        </w:p>
      </w:docPartBody>
    </w:docPart>
    <w:docPart>
      <w:docPartPr>
        <w:name w:val="FFB6535516E5481BAA964533060878A7"/>
        <w:category>
          <w:name w:val="Všeobecné"/>
          <w:gallery w:val="placeholder"/>
        </w:category>
        <w:types>
          <w:type w:val="bbPlcHdr"/>
        </w:types>
        <w:behaviors>
          <w:behavior w:val="content"/>
        </w:behaviors>
        <w:guid w:val="{D12E3239-F8FF-447C-A071-926924219613}"/>
      </w:docPartPr>
      <w:docPartBody>
        <w:p w:rsidR="007A05E8" w:rsidRDefault="00A40BAE" w:rsidP="00A40BAE">
          <w:pPr>
            <w:pStyle w:val="FFB6535516E5481BAA964533060878A7"/>
          </w:pPr>
          <w:r w:rsidRPr="00072A1C">
            <w:rPr>
              <w:rStyle w:val="Zstupntext"/>
              <w:rFonts w:eastAsiaTheme="minorHAnsi"/>
              <w:i/>
              <w:iCs/>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Times New Roman"/>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FF"/>
    <w:rsid w:val="00562687"/>
    <w:rsid w:val="0056777A"/>
    <w:rsid w:val="007A05E8"/>
    <w:rsid w:val="00A40BAE"/>
    <w:rsid w:val="00B315D3"/>
    <w:rsid w:val="00E60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40BAE"/>
    <w:rPr>
      <w:color w:val="808080"/>
    </w:rPr>
  </w:style>
  <w:style w:type="paragraph" w:customStyle="1" w:styleId="42B917EF81A9440FAF85A4308BE3A8A6">
    <w:name w:val="42B917EF81A9440FAF85A4308BE3A8A6"/>
    <w:rsid w:val="00E604FF"/>
  </w:style>
  <w:style w:type="paragraph" w:customStyle="1" w:styleId="FFB6535516E5481BAA964533060878A7">
    <w:name w:val="FFB6535516E5481BAA964533060878A7"/>
    <w:rsid w:val="00A40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24CE-0670-4AFD-9E5F-EBBC674A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OSP_Mgr_ucit_vytvar_umenia_v_komb</Template>
  <TotalTime>73</TotalTime>
  <Application>LibreOffice/7.3.7.2$Linux_X86_64 LibreOffice_project/30$Build-2</Application>
  <AppVersion>15.0000</AppVersion>
  <Pages>17</Pages>
  <Words>8791</Words>
  <Characters>59211</Characters>
  <CharactersWithSpaces>67850</CharactersWithSpaces>
  <Paragraphs>637</Paragraphs>
  <Company>MSVVaSSR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2023-03-03T09:55:00Z</dcterms:created>
  <dc:creator>Používateľ systému Windows</dc:creator>
  <dc:description/>
  <dc:language>en-US</dc:language>
  <cp:lastModifiedBy/>
  <dcterms:modified xsi:type="dcterms:W3CDTF">2025-10-06T01:50:25Z</dcterms:modified>
  <cp:revision>16</cp:revision>
  <dc:subject/>
  <dc:title>III</dc:title>
</cp:coreProperties>
</file>

<file path=docProps/custom.xml><?xml version="1.0" encoding="utf-8"?>
<Properties xmlns="http://schemas.openxmlformats.org/officeDocument/2006/custom-properties" xmlns:vt="http://schemas.openxmlformats.org/officeDocument/2006/docPropsVTypes"/>
</file>