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2ABE" w14:textId="43E021E8" w:rsidR="00B8128B" w:rsidRPr="00F72F71" w:rsidRDefault="006A6976" w:rsidP="00F72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142" w:right="73" w:firstLine="0"/>
        <w:jc w:val="center"/>
        <w:rPr>
          <w:rFonts w:ascii="Tw Cen MT" w:hAnsi="Tw Cen MT" w:cs="Times New Roman"/>
          <w:color w:val="auto"/>
        </w:rPr>
      </w:pPr>
      <w:r w:rsidRPr="00F72F71">
        <w:rPr>
          <w:rFonts w:ascii="Tw Cen MT" w:hAnsi="Tw Cen MT" w:cs="Times New Roman"/>
          <w:b/>
          <w:color w:val="auto"/>
        </w:rPr>
        <w:t>OPIS ODBORU HABILITAČNÉHO KONANIA A INAUGURAČNÉHO KONANIA</w:t>
      </w:r>
    </w:p>
    <w:p w14:paraId="5D86D3FD" w14:textId="716CA9C7" w:rsidR="00B8128B" w:rsidRPr="00F72F71" w:rsidRDefault="006A6976" w:rsidP="00F72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142" w:right="73" w:firstLine="0"/>
        <w:jc w:val="left"/>
        <w:rPr>
          <w:rFonts w:ascii="Tw Cen MT" w:hAnsi="Tw Cen MT" w:cs="Times New Roman"/>
        </w:rPr>
      </w:pPr>
      <w:r w:rsidRPr="00F72F71">
        <w:rPr>
          <w:rFonts w:ascii="Tw Cen MT" w:hAnsi="Tw Cen MT" w:cs="Times New Roman"/>
          <w:b/>
        </w:rPr>
        <w:t xml:space="preserve"> </w:t>
      </w:r>
      <w:r w:rsidRPr="00F72F71">
        <w:rPr>
          <w:rFonts w:ascii="Tw Cen MT" w:hAnsi="Tw Cen MT" w:cs="Times New Roman"/>
        </w:rPr>
        <w:t xml:space="preserve"> </w:t>
      </w:r>
    </w:p>
    <w:tbl>
      <w:tblPr>
        <w:tblStyle w:val="Mriekatabuky1"/>
        <w:tblW w:w="9736" w:type="dxa"/>
        <w:tblInd w:w="-102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16"/>
        <w:gridCol w:w="6520"/>
      </w:tblGrid>
      <w:tr w:rsidR="00B8128B" w:rsidRPr="00F72F71" w14:paraId="23C2CE0A" w14:textId="77777777" w:rsidTr="00FB0E3B">
        <w:trPr>
          <w:trHeight w:val="30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69F5" w14:textId="77777777" w:rsidR="00B8128B" w:rsidRPr="00F72F71" w:rsidRDefault="006A6976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  <w:b/>
              </w:rPr>
              <w:t xml:space="preserve">Názov odboru HIK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A3A" w14:textId="16C8E774" w:rsidR="00B8128B" w:rsidRPr="00F72F71" w:rsidRDefault="00363DDD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5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</w:rPr>
              <w:t>predškolská a elementárna pedagogika</w:t>
            </w:r>
          </w:p>
        </w:tc>
      </w:tr>
      <w:tr w:rsidR="00B8128B" w:rsidRPr="00F72F71" w14:paraId="334BD09D" w14:textId="77777777" w:rsidTr="00FB0E3B">
        <w:trPr>
          <w:trHeight w:val="596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2D9A" w14:textId="77777777" w:rsidR="00B8128B" w:rsidRPr="00F72F71" w:rsidRDefault="006A6976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  <w:b/>
              </w:rPr>
              <w:t xml:space="preserve">Študijný odbor/odbory, ku ktorému je odbor HIK priradený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29DD" w14:textId="62466B1F" w:rsidR="00B8128B" w:rsidRPr="00F72F71" w:rsidRDefault="00CA54A3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5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</w:rPr>
              <w:t>učiteľstvo a pedagogické vedy</w:t>
            </w:r>
          </w:p>
        </w:tc>
      </w:tr>
      <w:tr w:rsidR="00B8128B" w:rsidRPr="00F72F71" w14:paraId="36013B84" w14:textId="77777777" w:rsidTr="00FB0E3B">
        <w:trPr>
          <w:trHeight w:val="889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DBE4" w14:textId="77777777" w:rsidR="00B8128B" w:rsidRPr="00F72F71" w:rsidRDefault="006A6976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  <w:b/>
              </w:rPr>
              <w:t xml:space="preserve">Študijné programy 3. stupňa v odbore, ku ktorému je HIK priradený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B742" w14:textId="17802E4F" w:rsidR="00B8128B" w:rsidRPr="00F72F71" w:rsidRDefault="00EE0B0D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5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</w:rPr>
              <w:t>predškolská a elementárna pedagogika</w:t>
            </w:r>
          </w:p>
        </w:tc>
      </w:tr>
      <w:tr w:rsidR="00B8128B" w:rsidRPr="00F72F71" w14:paraId="6F94E6FB" w14:textId="77777777" w:rsidTr="00FB0E3B">
        <w:trPr>
          <w:trHeight w:val="888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F6F1" w14:textId="77777777" w:rsidR="00B8128B" w:rsidRPr="00F72F71" w:rsidRDefault="006A6976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  <w:b/>
              </w:rPr>
              <w:t xml:space="preserve">Študijné programy 2. stupňa v odbore, ku ktorému je HIK priradený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503" w14:textId="1502B670" w:rsidR="00363DDD" w:rsidRPr="00F72F71" w:rsidRDefault="00363DDD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5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</w:rPr>
              <w:t xml:space="preserve">učiteľstvo pre primárne vzdelávanie          </w:t>
            </w:r>
            <w:r w:rsidRPr="00F72F71">
              <w:rPr>
                <w:rFonts w:ascii="Tw Cen MT" w:hAnsi="Tw Cen MT" w:cs="Times New Roman"/>
              </w:rPr>
              <w:tab/>
            </w:r>
          </w:p>
          <w:p w14:paraId="2BCAFB49" w14:textId="6B15F14B" w:rsidR="00363DDD" w:rsidRPr="00F72F71" w:rsidRDefault="00363DDD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5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</w:rPr>
              <w:t>učiteľstvo pre primárne vzdelávanie a pedagogika psychosociálne narušených</w:t>
            </w:r>
            <w:r w:rsidRPr="00F72F71">
              <w:rPr>
                <w:rFonts w:ascii="Tw Cen MT" w:hAnsi="Tw Cen MT" w:cs="Times New Roman"/>
              </w:rPr>
              <w:tab/>
            </w:r>
            <w:r w:rsidRPr="00F72F71">
              <w:rPr>
                <w:rFonts w:ascii="Tw Cen MT" w:hAnsi="Tw Cen MT" w:cs="Times New Roman"/>
              </w:rPr>
              <w:tab/>
            </w:r>
            <w:r w:rsidRPr="00F72F71">
              <w:rPr>
                <w:rFonts w:ascii="Tw Cen MT" w:hAnsi="Tw Cen MT" w:cs="Times New Roman"/>
              </w:rPr>
              <w:tab/>
            </w:r>
          </w:p>
          <w:p w14:paraId="1E925A0A" w14:textId="79050F6B" w:rsidR="00B8128B" w:rsidRPr="00F72F71" w:rsidRDefault="00363DDD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5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</w:rPr>
              <w:t>predškolská pedagogika</w:t>
            </w:r>
          </w:p>
        </w:tc>
      </w:tr>
    </w:tbl>
    <w:p w14:paraId="3E6E119C" w14:textId="77777777" w:rsidR="00B8128B" w:rsidRPr="00F72F71" w:rsidRDefault="006A6976" w:rsidP="00F72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142" w:right="73" w:firstLine="0"/>
        <w:jc w:val="left"/>
        <w:rPr>
          <w:rFonts w:ascii="Tw Cen MT" w:hAnsi="Tw Cen MT" w:cs="Times New Roman"/>
        </w:rPr>
      </w:pPr>
      <w:r w:rsidRPr="00F72F71">
        <w:rPr>
          <w:rFonts w:ascii="Tw Cen MT" w:hAnsi="Tw Cen MT" w:cs="Times New Roman"/>
          <w:b/>
        </w:rPr>
        <w:t xml:space="preserve"> </w:t>
      </w:r>
    </w:p>
    <w:tbl>
      <w:tblPr>
        <w:tblStyle w:val="Mriekatabuky1"/>
        <w:tblW w:w="9741" w:type="dxa"/>
        <w:tblInd w:w="-107" w:type="dxa"/>
        <w:tblCellMar>
          <w:top w:w="52" w:type="dxa"/>
          <w:left w:w="107" w:type="dxa"/>
        </w:tblCellMar>
        <w:tblLook w:val="04A0" w:firstRow="1" w:lastRow="0" w:firstColumn="1" w:lastColumn="0" w:noHBand="0" w:noVBand="1"/>
      </w:tblPr>
      <w:tblGrid>
        <w:gridCol w:w="9741"/>
      </w:tblGrid>
      <w:tr w:rsidR="00B8128B" w:rsidRPr="00F72F71" w14:paraId="068D10AD" w14:textId="77777777" w:rsidTr="00EF0C83">
        <w:trPr>
          <w:trHeight w:val="300"/>
        </w:trPr>
        <w:tc>
          <w:tcPr>
            <w:tcW w:w="9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E4A16" w14:textId="0C548654" w:rsidR="00B8128B" w:rsidRPr="00F72F71" w:rsidRDefault="006A6976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  <w:b/>
              </w:rPr>
              <w:t xml:space="preserve">Obsah odboru HIK </w:t>
            </w:r>
          </w:p>
        </w:tc>
      </w:tr>
      <w:tr w:rsidR="00B8128B" w:rsidRPr="00F72F71" w14:paraId="193E6FCE" w14:textId="77777777" w:rsidTr="00EF0C83">
        <w:trPr>
          <w:trHeight w:val="1838"/>
        </w:trPr>
        <w:tc>
          <w:tcPr>
            <w:tcW w:w="9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78CA" w14:textId="1834AF62" w:rsidR="00B8128B" w:rsidRPr="00F72F71" w:rsidRDefault="006A6976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jc w:val="left"/>
              <w:rPr>
                <w:rFonts w:ascii="Tw Cen MT" w:hAnsi="Tw Cen MT" w:cs="Times New Roman"/>
                <w:color w:val="auto"/>
              </w:rPr>
            </w:pPr>
            <w:r w:rsidRPr="00F72F71">
              <w:rPr>
                <w:rFonts w:ascii="Tw Cen MT" w:hAnsi="Tw Cen MT" w:cs="Times New Roman"/>
                <w:color w:val="auto"/>
              </w:rPr>
              <w:t xml:space="preserve">Názov odboru HIK: </w:t>
            </w:r>
            <w:r w:rsidR="00363DDD" w:rsidRPr="00F72F71">
              <w:rPr>
                <w:rFonts w:ascii="Tw Cen MT" w:hAnsi="Tw Cen MT" w:cs="Times New Roman"/>
                <w:color w:val="auto"/>
              </w:rPr>
              <w:t>predškolská a elementárna pedagogika</w:t>
            </w:r>
          </w:p>
          <w:p w14:paraId="13936961" w14:textId="2EA06114" w:rsidR="00363DDD" w:rsidRPr="00F72F71" w:rsidRDefault="1541E2BD" w:rsidP="00F72F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</w:rPr>
              <w:t xml:space="preserve">Obsah odboru HIK je v súlade so zameraním študijného odboru učiteľstvo a pedagogické vedy a je zameraný a vymedzený tak, aby korešpondoval s nosnými témami jadra znalostí študijného odboru učiteľstvo a pedagogické vedy. Uchádzači deklarujú výsledky svojich výskumov aj ich praktických implikácií pri riešení: 1. problémov predškolskej a elementárnej pedagogiky, týkajúce sa filozofických, </w:t>
            </w:r>
            <w:proofErr w:type="spellStart"/>
            <w:r w:rsidRPr="00F72F71">
              <w:rPr>
                <w:rFonts w:ascii="Tw Cen MT" w:hAnsi="Tw Cen MT" w:cs="Times New Roman"/>
              </w:rPr>
              <w:t>kognitivistických</w:t>
            </w:r>
            <w:proofErr w:type="spellEnd"/>
            <w:r w:rsidRPr="00F72F71">
              <w:rPr>
                <w:rFonts w:ascii="Tw Cen MT" w:hAnsi="Tw Cen MT" w:cs="Times New Roman"/>
              </w:rPr>
              <w:t xml:space="preserve"> a sociologických interpretácií edukačných javov, (2) špecifickejších problémov súvisiacich s výskumom didaktických aspektov v rámci jednotlivých vzdelávacích oblastí predprimárneho a primárneho vzdelávania. Hlavné obsahové prvky odboru HIK sú: filozofické východiská predškolskej a elementárnej edukácie vo vzťahu ku školským reformám a trendom v Slovenskej republike, bio-</w:t>
            </w:r>
            <w:proofErr w:type="spellStart"/>
            <w:r w:rsidRPr="00F72F71">
              <w:rPr>
                <w:rFonts w:ascii="Tw Cen MT" w:hAnsi="Tw Cen MT" w:cs="Times New Roman"/>
              </w:rPr>
              <w:t>psycho</w:t>
            </w:r>
            <w:proofErr w:type="spellEnd"/>
            <w:r w:rsidRPr="00F72F71">
              <w:rPr>
                <w:rFonts w:ascii="Tw Cen MT" w:hAnsi="Tw Cen MT" w:cs="Times New Roman"/>
              </w:rPr>
              <w:t xml:space="preserve">-sociálne aspekty predškolskej a primárnej edukácie, trendy edukácie v digitálnej dobe,    didaktika vybraných obsahových oblastí v predškolskej, voľnočasovej a  primárnej edukácii: slovenský jazyk a literatúra, matematika, hudobná, výtvarná výchova, telesná a športová výchova, </w:t>
            </w:r>
            <w:proofErr w:type="spellStart"/>
            <w:r w:rsidRPr="00F72F71">
              <w:rPr>
                <w:rFonts w:ascii="Tw Cen MT" w:hAnsi="Tw Cen MT" w:cs="Times New Roman"/>
              </w:rPr>
              <w:t>prvouka</w:t>
            </w:r>
            <w:proofErr w:type="spellEnd"/>
            <w:r w:rsidRPr="00F72F71">
              <w:rPr>
                <w:rFonts w:ascii="Tw Cen MT" w:hAnsi="Tw Cen MT" w:cs="Times New Roman"/>
              </w:rPr>
              <w:t xml:space="preserve">, vlastiveda, prírodoveda, informatika, pracovné vyučovanie.  </w:t>
            </w:r>
          </w:p>
        </w:tc>
      </w:tr>
    </w:tbl>
    <w:p w14:paraId="1A9BFFA9" w14:textId="3CF82114" w:rsidR="00B8128B" w:rsidRDefault="00B8128B" w:rsidP="00F72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142" w:right="73" w:firstLine="0"/>
        <w:jc w:val="left"/>
        <w:rPr>
          <w:rFonts w:ascii="Tw Cen MT" w:hAnsi="Tw Cen MT" w:cs="Times New Roman"/>
        </w:rPr>
      </w:pPr>
    </w:p>
    <w:tbl>
      <w:tblPr>
        <w:tblStyle w:val="Mriekatabuky1"/>
        <w:tblW w:w="9741" w:type="dxa"/>
        <w:tblInd w:w="-107" w:type="dxa"/>
        <w:tblCellMar>
          <w:top w:w="52" w:type="dxa"/>
          <w:left w:w="107" w:type="dxa"/>
        </w:tblCellMar>
        <w:tblLook w:val="04A0" w:firstRow="1" w:lastRow="0" w:firstColumn="1" w:lastColumn="0" w:noHBand="0" w:noVBand="1"/>
      </w:tblPr>
      <w:tblGrid>
        <w:gridCol w:w="9741"/>
      </w:tblGrid>
      <w:tr w:rsidR="0087088D" w:rsidRPr="00F72F71" w14:paraId="23A590C2" w14:textId="77777777" w:rsidTr="00805AC2">
        <w:trPr>
          <w:trHeight w:val="300"/>
        </w:trPr>
        <w:tc>
          <w:tcPr>
            <w:tcW w:w="9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237754" w14:textId="1EBB3D4D" w:rsidR="0087088D" w:rsidRPr="00F72F71" w:rsidRDefault="0087088D" w:rsidP="00FF7E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  <w:b/>
              </w:rPr>
              <w:t>Vymedzenie odboru HIK</w:t>
            </w:r>
          </w:p>
        </w:tc>
      </w:tr>
      <w:tr w:rsidR="0087088D" w:rsidRPr="00F72F71" w14:paraId="63767465" w14:textId="77777777" w:rsidTr="00805AC2">
        <w:trPr>
          <w:trHeight w:val="651"/>
        </w:trPr>
        <w:tc>
          <w:tcPr>
            <w:tcW w:w="9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A6F23" w14:textId="6BFDD300" w:rsidR="0087088D" w:rsidRPr="00F72F71" w:rsidRDefault="0087088D" w:rsidP="00FF7E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/>
              </w:rPr>
              <w:t>Odbor habilitačného konania a inauguračného konania predškolská a elementárna pedagogika je priradený k študijnému odboru učiteľstvo a pedagogické vedy</w:t>
            </w:r>
            <w:r>
              <w:rPr>
                <w:rFonts w:ascii="Tw Cen MT" w:hAnsi="Tw Cen MT"/>
              </w:rPr>
              <w:t>.</w:t>
            </w:r>
            <w:r w:rsidRPr="00F72F71">
              <w:rPr>
                <w:rFonts w:ascii="Tw Cen MT" w:hAnsi="Tw Cen MT" w:cstheme="minorHAnsi"/>
              </w:rPr>
              <w:t xml:space="preserve"> Odbor HIK predškolská a elementárna pedagogika sa zameriava na základný a aplikovaný výskum pedagogických aspektov predprimárneho a primárneho vzdelávania. Nadväzuje na študijný program tretieho stupňa predškolská a elementárna pedagogika v študijnom odbore učiteľstvo a pedagogické vedy. Odbor HIK reflektuje aktuálne trendy v oblasti pedagogického výskumu,  jeho interdisciplinárnych súvislostí. V rámci habilitačných a inauguračných konaní predstavujú uchádzači výsledky svojej expertízy v širokom spektre pedagogických problémov predprimárneho a primárneho vzdelávania. Na pracovisku – Pedagogickej fakulte Prešovskej univerzity – sú práva na habilitačné a inauguračné konania priznané od roku 2002. S cieľom zvyšovania  kvality procesov aj výstupov habilitačného a inauguračného konania bola vytvorená a v praxi implementovaná i overená dvojúrovňová procedúra </w:t>
            </w:r>
            <w:r w:rsidRPr="00F72F71">
              <w:rPr>
                <w:rFonts w:ascii="Tw Cen MT" w:hAnsi="Tw Cen MT" w:cstheme="minorHAnsi"/>
              </w:rPr>
              <w:lastRenderedPageBreak/>
              <w:t>posudzovania predložených materiálov od uchádzačov: 1. úroveň je reprezentovaná stanoviskom trojčlennej</w:t>
            </w:r>
            <w:r w:rsidRPr="00F72F71">
              <w:rPr>
                <w:rFonts w:ascii="Tw Cen MT" w:eastAsia="Times New Roman" w:hAnsi="Tw Cen MT" w:cstheme="minorHAnsi"/>
              </w:rPr>
              <w:t xml:space="preserve"> internej komisie PF PU na posúdenie plnenia minimálnych kritérií na habilitačné a inauguračné konanie; 2. úroveň je reprezentovaná stanoviskom habilitačnej  a inauguračnej komisie.</w:t>
            </w:r>
          </w:p>
        </w:tc>
      </w:tr>
    </w:tbl>
    <w:p w14:paraId="096F7C82" w14:textId="240A8C1A" w:rsidR="00B8128B" w:rsidRDefault="00B8128B" w:rsidP="00F72F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142" w:right="73" w:firstLine="0"/>
        <w:rPr>
          <w:rFonts w:ascii="Tw Cen MT" w:hAnsi="Tw Cen MT" w:cs="Times New Roman"/>
        </w:rPr>
      </w:pPr>
    </w:p>
    <w:tbl>
      <w:tblPr>
        <w:tblStyle w:val="Mriekatabuky1"/>
        <w:tblW w:w="9741" w:type="dxa"/>
        <w:tblInd w:w="-107" w:type="dxa"/>
        <w:tblCellMar>
          <w:top w:w="52" w:type="dxa"/>
          <w:left w:w="107" w:type="dxa"/>
        </w:tblCellMar>
        <w:tblLook w:val="04A0" w:firstRow="1" w:lastRow="0" w:firstColumn="1" w:lastColumn="0" w:noHBand="0" w:noVBand="1"/>
      </w:tblPr>
      <w:tblGrid>
        <w:gridCol w:w="9741"/>
      </w:tblGrid>
      <w:tr w:rsidR="0087088D" w:rsidRPr="00F72F71" w14:paraId="2F2BB914" w14:textId="77777777" w:rsidTr="00805AC2">
        <w:trPr>
          <w:trHeight w:val="300"/>
        </w:trPr>
        <w:tc>
          <w:tcPr>
            <w:tcW w:w="9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8121C" w14:textId="70303C63" w:rsidR="0087088D" w:rsidRPr="00F72F71" w:rsidRDefault="0087088D" w:rsidP="00FF7E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0" w:right="73" w:firstLine="0"/>
              <w:jc w:val="left"/>
              <w:rPr>
                <w:rFonts w:ascii="Tw Cen MT" w:hAnsi="Tw Cen MT" w:cs="Times New Roman"/>
              </w:rPr>
            </w:pPr>
            <w:r w:rsidRPr="00F72F71">
              <w:rPr>
                <w:rFonts w:ascii="Tw Cen MT" w:hAnsi="Tw Cen MT" w:cs="Times New Roman"/>
                <w:b/>
              </w:rPr>
              <w:t>Osoby, ktoré majú zodpovednosť za rozvoj a zabezpečenie kvality odboru HIK</w:t>
            </w:r>
          </w:p>
        </w:tc>
      </w:tr>
      <w:tr w:rsidR="0087088D" w:rsidRPr="00F72F71" w14:paraId="0D7B8A73" w14:textId="77777777" w:rsidTr="00805AC2">
        <w:trPr>
          <w:trHeight w:val="1838"/>
        </w:trPr>
        <w:tc>
          <w:tcPr>
            <w:tcW w:w="9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E2E3" w14:textId="338C215B" w:rsidR="0087088D" w:rsidRPr="00F72F71" w:rsidRDefault="0087088D" w:rsidP="00AC5D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37" w:right="73" w:firstLine="0"/>
              <w:jc w:val="left"/>
              <w:rPr>
                <w:rFonts w:ascii="Tw Cen MT" w:hAnsi="Tw Cen MT" w:cs="Times New Roman"/>
              </w:rPr>
            </w:pPr>
            <w:hyperlink r:id="rId7" w:history="1">
              <w:r w:rsidRPr="00F72F71">
                <w:rPr>
                  <w:rStyle w:val="Hypertextovprepojenie"/>
                  <w:rFonts w:ascii="Tw Cen MT" w:hAnsi="Tw Cen MT" w:cs="Times New Roman"/>
                </w:rPr>
                <w:t>prof. PhDr. Iveta Kovalčíková, PhD.</w:t>
              </w:r>
            </w:hyperlink>
            <w:r w:rsidRPr="00F72F71">
              <w:rPr>
                <w:rFonts w:ascii="Tw Cen MT" w:hAnsi="Tw Cen MT" w:cs="Times New Roman"/>
              </w:rPr>
              <w:t xml:space="preserve"> – pôsobí v odbore HIK predškolská a elementárna pedagogika, študijný odbor: učiteľstvo a pedagogické vedy;</w:t>
            </w:r>
          </w:p>
          <w:p w14:paraId="1FB7D324" w14:textId="77777777" w:rsidR="0087088D" w:rsidRPr="00F72F71" w:rsidRDefault="0087088D" w:rsidP="00AC5D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37" w:right="73" w:firstLine="0"/>
              <w:jc w:val="left"/>
              <w:rPr>
                <w:rFonts w:ascii="Tw Cen MT" w:hAnsi="Tw Cen MT" w:cs="Times New Roman"/>
              </w:rPr>
            </w:pPr>
            <w:hyperlink r:id="rId8" w:history="1">
              <w:r w:rsidRPr="00F72F71">
                <w:rPr>
                  <w:rStyle w:val="Hypertextovprepojenie"/>
                  <w:rFonts w:ascii="Tw Cen MT" w:hAnsi="Tw Cen MT" w:cs="Times New Roman"/>
                </w:rPr>
                <w:t xml:space="preserve">prof. Ing. Jana </w:t>
              </w:r>
              <w:proofErr w:type="spellStart"/>
              <w:r w:rsidRPr="00F72F71">
                <w:rPr>
                  <w:rStyle w:val="Hypertextovprepojenie"/>
                  <w:rFonts w:ascii="Tw Cen MT" w:hAnsi="Tw Cen MT" w:cs="Times New Roman"/>
                </w:rPr>
                <w:t>Burgerová</w:t>
              </w:r>
              <w:proofErr w:type="spellEnd"/>
              <w:r w:rsidRPr="00F72F71">
                <w:rPr>
                  <w:rStyle w:val="Hypertextovprepojenie"/>
                  <w:rFonts w:ascii="Tw Cen MT" w:hAnsi="Tw Cen MT" w:cs="Times New Roman"/>
                </w:rPr>
                <w:t>, PhD.</w:t>
              </w:r>
            </w:hyperlink>
            <w:r w:rsidRPr="00F72F71">
              <w:rPr>
                <w:rFonts w:ascii="Tw Cen MT" w:hAnsi="Tw Cen MT" w:cs="Times New Roman"/>
              </w:rPr>
              <w:t>– pôsobí v odbore HIK predškolská a elementárna pedagogika, študijný odbor: učiteľstvo a pedagogické vedy;</w:t>
            </w:r>
          </w:p>
          <w:p w14:paraId="6A2BDA27" w14:textId="77777777" w:rsidR="0087088D" w:rsidRPr="00F72F71" w:rsidRDefault="0087088D" w:rsidP="00AC5D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37" w:right="73" w:firstLine="0"/>
              <w:jc w:val="left"/>
              <w:rPr>
                <w:rFonts w:ascii="Tw Cen MT" w:hAnsi="Tw Cen MT" w:cs="Times New Roman"/>
              </w:rPr>
            </w:pPr>
            <w:hyperlink r:id="rId9" w:history="1">
              <w:r w:rsidRPr="00F72F71">
                <w:rPr>
                  <w:rStyle w:val="Hypertextovprepojenie"/>
                  <w:rFonts w:ascii="Tw Cen MT" w:hAnsi="Tw Cen MT" w:cs="Times New Roman"/>
                </w:rPr>
                <w:t>prof. PaedDr. Vladimír Klein, PhD.</w:t>
              </w:r>
            </w:hyperlink>
            <w:r w:rsidRPr="00F72F71">
              <w:rPr>
                <w:rFonts w:ascii="Tw Cen MT" w:hAnsi="Tw Cen MT" w:cs="Times New Roman"/>
              </w:rPr>
              <w:t>– pôsobí v odbore HIK predškolská a elementárna pedagogika, študijný odbor: učiteľstvo a pedagogické vedy;</w:t>
            </w:r>
          </w:p>
          <w:p w14:paraId="2F5CEE59" w14:textId="77777777" w:rsidR="0087088D" w:rsidRPr="00F72F71" w:rsidRDefault="0087088D" w:rsidP="00AC5D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37" w:right="73" w:firstLine="0"/>
              <w:jc w:val="left"/>
              <w:rPr>
                <w:rFonts w:ascii="Tw Cen MT" w:hAnsi="Tw Cen MT" w:cs="Times New Roman"/>
              </w:rPr>
            </w:pPr>
            <w:hyperlink r:id="rId10" w:history="1">
              <w:r w:rsidRPr="00F72F71">
                <w:rPr>
                  <w:rStyle w:val="Hypertextovprepojenie"/>
                  <w:rFonts w:ascii="Tw Cen MT" w:hAnsi="Tw Cen MT" w:cs="Times New Roman"/>
                </w:rPr>
                <w:t xml:space="preserve">prof. PaedDr. Jozef </w:t>
              </w:r>
              <w:proofErr w:type="spellStart"/>
              <w:r w:rsidRPr="00F72F71">
                <w:rPr>
                  <w:rStyle w:val="Hypertextovprepojenie"/>
                  <w:rFonts w:ascii="Tw Cen MT" w:hAnsi="Tw Cen MT" w:cs="Times New Roman"/>
                </w:rPr>
                <w:t>Liba</w:t>
              </w:r>
              <w:proofErr w:type="spellEnd"/>
              <w:r w:rsidRPr="00F72F71">
                <w:rPr>
                  <w:rStyle w:val="Hypertextovprepojenie"/>
                  <w:rFonts w:ascii="Tw Cen MT" w:hAnsi="Tw Cen MT" w:cs="Times New Roman"/>
                </w:rPr>
                <w:t>, PhD.</w:t>
              </w:r>
            </w:hyperlink>
            <w:r w:rsidRPr="00F72F71">
              <w:rPr>
                <w:rFonts w:ascii="Tw Cen MT" w:hAnsi="Tw Cen MT" w:cs="Times New Roman"/>
              </w:rPr>
              <w:t>– pôsobí v odbore HIK predškolská a elementárna pedagogika, študijný odbor: učiteľstvo a pedagogické vedy;</w:t>
            </w:r>
          </w:p>
          <w:p w14:paraId="20C700EF" w14:textId="1B30A08E" w:rsidR="0087088D" w:rsidRPr="00F72F71" w:rsidRDefault="0087088D" w:rsidP="00AC5D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6" w:lineRule="auto"/>
              <w:ind w:left="37" w:right="73" w:firstLine="0"/>
              <w:rPr>
                <w:rFonts w:ascii="Tw Cen MT" w:hAnsi="Tw Cen MT" w:cs="Times New Roman"/>
              </w:rPr>
            </w:pPr>
            <w:hyperlink r:id="rId11" w:history="1">
              <w:r w:rsidRPr="00F72F71">
                <w:rPr>
                  <w:rStyle w:val="Hypertextovprepojenie"/>
                  <w:rFonts w:ascii="Tw Cen MT" w:hAnsi="Tw Cen MT" w:cs="Times New Roman"/>
                </w:rPr>
                <w:t>prof. PaedDr. Ľudmila Liptáková, CSc.</w:t>
              </w:r>
            </w:hyperlink>
            <w:r w:rsidRPr="00F72F71">
              <w:rPr>
                <w:rFonts w:ascii="Tw Cen MT" w:hAnsi="Tw Cen MT" w:cs="Times New Roman"/>
              </w:rPr>
              <w:t>– pôsobí v odbore HIK predškolská a elementárna pedagogika, študijný odbor: učiteľstvo a pedagogické vedy;</w:t>
            </w:r>
          </w:p>
        </w:tc>
      </w:tr>
    </w:tbl>
    <w:p w14:paraId="43AD75AC" w14:textId="77777777" w:rsidR="0087088D" w:rsidRDefault="0087088D" w:rsidP="00E812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0" w:right="73" w:firstLine="0"/>
        <w:rPr>
          <w:rFonts w:ascii="Tw Cen MT" w:hAnsi="Tw Cen MT" w:cs="Times New Roman"/>
        </w:rPr>
      </w:pPr>
    </w:p>
    <w:sectPr w:rsidR="0087088D" w:rsidSect="00C551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40"/>
      <w:pgMar w:top="1422" w:right="1556" w:bottom="1520" w:left="1134" w:header="57" w:footer="8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ECE4" w14:textId="77777777" w:rsidR="008470EB" w:rsidRDefault="008470EB">
      <w:pPr>
        <w:spacing w:after="0" w:line="240" w:lineRule="auto"/>
      </w:pPr>
      <w:r>
        <w:separator/>
      </w:r>
    </w:p>
  </w:endnote>
  <w:endnote w:type="continuationSeparator" w:id="0">
    <w:p w14:paraId="692188B3" w14:textId="77777777" w:rsidR="008470EB" w:rsidRDefault="0084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1E46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6C148A9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786F" w14:textId="7E66B9EC" w:rsidR="00B8128B" w:rsidRDefault="00B8128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14" w:firstLine="0"/>
      <w:jc w:val="right"/>
    </w:pPr>
  </w:p>
  <w:p w14:paraId="10FFF4C6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9FA1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2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982C412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20A7" w14:textId="77777777" w:rsidR="008470EB" w:rsidRDefault="008470EB">
      <w:pPr>
        <w:spacing w:after="0" w:line="240" w:lineRule="auto"/>
      </w:pPr>
      <w:r>
        <w:separator/>
      </w:r>
    </w:p>
  </w:footnote>
  <w:footnote w:type="continuationSeparator" w:id="0">
    <w:p w14:paraId="1AAD621C" w14:textId="77777777" w:rsidR="008470EB" w:rsidRDefault="0084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2CFB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  <w:ind w:left="27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EB4C07D" wp14:editId="3749637D">
          <wp:simplePos x="0" y="0"/>
          <wp:positionH relativeFrom="page">
            <wp:posOffset>899922</wp:posOffset>
          </wp:positionH>
          <wp:positionV relativeFrom="page">
            <wp:posOffset>228600</wp:posOffset>
          </wp:positionV>
          <wp:extent cx="533400" cy="533400"/>
          <wp:effectExtent l="0" t="0" r="0" b="0"/>
          <wp:wrapSquare wrapText="bothSides"/>
          <wp:docPr id="19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57A715A" wp14:editId="155B535A">
          <wp:simplePos x="0" y="0"/>
          <wp:positionH relativeFrom="page">
            <wp:posOffset>6089142</wp:posOffset>
          </wp:positionH>
          <wp:positionV relativeFrom="page">
            <wp:posOffset>195834</wp:posOffset>
          </wp:positionV>
          <wp:extent cx="561594" cy="561594"/>
          <wp:effectExtent l="0" t="0" r="0" b="0"/>
          <wp:wrapSquare wrapText="bothSides"/>
          <wp:docPr id="20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594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</w:p>
  <w:p w14:paraId="4D1C5C3E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3" w:line="259" w:lineRule="auto"/>
      <w:ind w:left="5" w:firstLine="0"/>
      <w:jc w:val="center"/>
    </w:pPr>
    <w:r>
      <w:rPr>
        <w:b/>
      </w:rPr>
      <w:t xml:space="preserve">TRNAVSKÁ UNIVERZITA V TRNAVE </w:t>
    </w:r>
  </w:p>
  <w:p w14:paraId="540BA62A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center"/>
    </w:pPr>
    <w:r>
      <w:rPr>
        <w:b/>
      </w:rPr>
      <w:t xml:space="preserve">Právnická fakulta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E27C" w14:textId="77777777" w:rsidR="00C5517E" w:rsidRDefault="00C5517E" w:rsidP="00C5517E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</w:p>
  <w:p w14:paraId="7B149544" w14:textId="20EE011F" w:rsidR="00C5517E" w:rsidRDefault="00C5517E" w:rsidP="00C5517E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</w:p>
  <w:p w14:paraId="642AFFEC" w14:textId="65ADC76B" w:rsidR="00C5517E" w:rsidRDefault="00567183" w:rsidP="00C5517E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en-GB" w:eastAsia="en-GB"/>
      </w:rPr>
      <w:drawing>
        <wp:anchor distT="0" distB="0" distL="114300" distR="114300" simplePos="0" relativeHeight="251665408" behindDoc="1" locked="0" layoutInCell="1" allowOverlap="1" wp14:anchorId="61D36C48" wp14:editId="7ADD1D75">
          <wp:simplePos x="0" y="0"/>
          <wp:positionH relativeFrom="column">
            <wp:posOffset>5313045</wp:posOffset>
          </wp:positionH>
          <wp:positionV relativeFrom="paragraph">
            <wp:posOffset>15240</wp:posOffset>
          </wp:positionV>
          <wp:extent cx="807720" cy="810895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966B79" w14:textId="7E1B6E92" w:rsidR="00C5517E" w:rsidRPr="006938C4" w:rsidRDefault="00C5517E" w:rsidP="00C5517E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</w:rPr>
    </w:pPr>
    <w:r w:rsidRPr="006938C4">
      <w:rPr>
        <w:rFonts w:ascii="Tw Cen MT" w:eastAsiaTheme="minorHAnsi" w:hAnsi="Tw Cen MT" w:cs="NimbusSansDEE-Bold"/>
        <w:b/>
        <w:bCs/>
        <w:sz w:val="22"/>
        <w:szCs w:val="22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</w:rPr>
      <w:t>ove</w:t>
    </w:r>
  </w:p>
  <w:p w14:paraId="46A5CDC2" w14:textId="77777777" w:rsidR="00C5517E" w:rsidRDefault="00C5517E" w:rsidP="00C5517E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</w:rPr>
    </w:pPr>
    <w:r w:rsidRPr="006938C4">
      <w:rPr>
        <w:rFonts w:ascii="Tw Cen MT" w:eastAsiaTheme="minorHAnsi" w:hAnsi="Tw Cen MT" w:cs="NimbusSansDEE-Regular"/>
        <w:sz w:val="22"/>
        <w:szCs w:val="22"/>
      </w:rPr>
      <w:t>Pedagogická fakulta</w:t>
    </w:r>
  </w:p>
  <w:p w14:paraId="46B5A862" w14:textId="77777777" w:rsidR="00FB0E3B" w:rsidRDefault="00FB0E3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  <w:ind w:left="273" w:firstLine="0"/>
      <w:jc w:val="center"/>
      <w:rPr>
        <w:b/>
      </w:rPr>
    </w:pPr>
  </w:p>
  <w:p w14:paraId="3CEAED14" w14:textId="45F79901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  <w:ind w:left="273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13AA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  <w:ind w:left="273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82E8CCF" wp14:editId="7CDCA95A">
          <wp:simplePos x="0" y="0"/>
          <wp:positionH relativeFrom="page">
            <wp:posOffset>899922</wp:posOffset>
          </wp:positionH>
          <wp:positionV relativeFrom="page">
            <wp:posOffset>228600</wp:posOffset>
          </wp:positionV>
          <wp:extent cx="533400" cy="533400"/>
          <wp:effectExtent l="0" t="0" r="0" b="0"/>
          <wp:wrapSquare wrapText="bothSides"/>
          <wp:docPr id="21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859DED4" wp14:editId="6AC62BAD">
          <wp:simplePos x="0" y="0"/>
          <wp:positionH relativeFrom="page">
            <wp:posOffset>6089142</wp:posOffset>
          </wp:positionH>
          <wp:positionV relativeFrom="page">
            <wp:posOffset>195834</wp:posOffset>
          </wp:positionV>
          <wp:extent cx="561594" cy="561594"/>
          <wp:effectExtent l="0" t="0" r="0" b="0"/>
          <wp:wrapSquare wrapText="bothSides"/>
          <wp:docPr id="2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594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</w:p>
  <w:p w14:paraId="6BA52B75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3" w:line="259" w:lineRule="auto"/>
      <w:ind w:left="5" w:firstLine="0"/>
      <w:jc w:val="center"/>
    </w:pPr>
    <w:r>
      <w:rPr>
        <w:b/>
      </w:rPr>
      <w:t xml:space="preserve">TRNAVSKÁ UNIVERZITA V TRNAVE </w:t>
    </w:r>
  </w:p>
  <w:p w14:paraId="3A812B61" w14:textId="77777777" w:rsidR="00B8128B" w:rsidRDefault="006A69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" w:firstLine="0"/>
      <w:jc w:val="center"/>
    </w:pPr>
    <w:r>
      <w:rPr>
        <w:b/>
      </w:rPr>
      <w:t xml:space="preserve">Právnická fakulta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881"/>
    <w:multiLevelType w:val="hybridMultilevel"/>
    <w:tmpl w:val="67A2099A"/>
    <w:lvl w:ilvl="0" w:tplc="987E9F8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0E0A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885B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AAD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060C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2A57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CE56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E19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0F17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58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8B"/>
    <w:rsid w:val="000A7A8C"/>
    <w:rsid w:val="000B5BE2"/>
    <w:rsid w:val="000D0379"/>
    <w:rsid w:val="000D2FF8"/>
    <w:rsid w:val="000F4EAF"/>
    <w:rsid w:val="00131445"/>
    <w:rsid w:val="00183E42"/>
    <w:rsid w:val="001F1C43"/>
    <w:rsid w:val="00205967"/>
    <w:rsid w:val="00230EAA"/>
    <w:rsid w:val="002406BB"/>
    <w:rsid w:val="0027603E"/>
    <w:rsid w:val="00282ABE"/>
    <w:rsid w:val="003532CE"/>
    <w:rsid w:val="00363DDD"/>
    <w:rsid w:val="003B3C14"/>
    <w:rsid w:val="003D6221"/>
    <w:rsid w:val="003F3578"/>
    <w:rsid w:val="004B61A2"/>
    <w:rsid w:val="004B751C"/>
    <w:rsid w:val="00537CBF"/>
    <w:rsid w:val="00567183"/>
    <w:rsid w:val="006A6976"/>
    <w:rsid w:val="007546D1"/>
    <w:rsid w:val="008010E0"/>
    <w:rsid w:val="00805AC2"/>
    <w:rsid w:val="008470EB"/>
    <w:rsid w:val="0087088D"/>
    <w:rsid w:val="009116B1"/>
    <w:rsid w:val="00A64AD3"/>
    <w:rsid w:val="00A91043"/>
    <w:rsid w:val="00AC5D19"/>
    <w:rsid w:val="00B8128B"/>
    <w:rsid w:val="00BD2C02"/>
    <w:rsid w:val="00C31284"/>
    <w:rsid w:val="00C5517E"/>
    <w:rsid w:val="00CA54A3"/>
    <w:rsid w:val="00DD1C39"/>
    <w:rsid w:val="00E812F5"/>
    <w:rsid w:val="00EC7AAB"/>
    <w:rsid w:val="00EE0B0D"/>
    <w:rsid w:val="00EF0C83"/>
    <w:rsid w:val="00F22E1D"/>
    <w:rsid w:val="00F54892"/>
    <w:rsid w:val="00F72F71"/>
    <w:rsid w:val="00FB0E3B"/>
    <w:rsid w:val="154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050B5"/>
  <w15:docId w15:val="{88A098C3-D0F1-E845-82FE-50DB570A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error">
    <w:name w:val="spellingerror"/>
    <w:basedOn w:val="Predvolenpsmoodseku"/>
    <w:rsid w:val="00363DDD"/>
  </w:style>
  <w:style w:type="character" w:customStyle="1" w:styleId="normaltextrun">
    <w:name w:val="normaltextrun"/>
    <w:basedOn w:val="Predvolenpsmoodseku"/>
    <w:rsid w:val="00363DDD"/>
  </w:style>
  <w:style w:type="character" w:customStyle="1" w:styleId="eop">
    <w:name w:val="eop"/>
    <w:basedOn w:val="Predvolenpsmoodseku"/>
    <w:rsid w:val="00363DDD"/>
  </w:style>
  <w:style w:type="paragraph" w:styleId="Normlnywebov">
    <w:name w:val="Normal (Web)"/>
    <w:basedOn w:val="Normlny"/>
    <w:uiPriority w:val="99"/>
    <w:semiHidden/>
    <w:unhideWhenUsed/>
    <w:rsid w:val="000D2F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Vrazn">
    <w:name w:val="Strong"/>
    <w:basedOn w:val="Predvolenpsmoodseku"/>
    <w:uiPriority w:val="22"/>
    <w:qFormat/>
    <w:rsid w:val="000D2FF8"/>
    <w:rPr>
      <w:b/>
      <w:bCs/>
    </w:rPr>
  </w:style>
  <w:style w:type="character" w:styleId="Zvraznenie">
    <w:name w:val="Emphasis"/>
    <w:basedOn w:val="Predvolenpsmoodseku"/>
    <w:uiPriority w:val="20"/>
    <w:qFormat/>
    <w:rsid w:val="000D2FF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0D037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D0379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C5517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  <w:jc w:val="left"/>
    </w:pPr>
    <w:rPr>
      <w:rFonts w:ascii="NimbuSanDEE" w:eastAsia="NimbuSanDEE" w:hAnsi="NimbuSanDEE" w:cs="NimbuSanDEE"/>
      <w:color w:val="auto"/>
      <w:sz w:val="16"/>
      <w:szCs w:val="16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5517E"/>
    <w:rPr>
      <w:rFonts w:ascii="NimbuSanDEE" w:eastAsia="NimbuSanDEE" w:hAnsi="NimbuSanDEE" w:cs="NimbuSanDEE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public/media/4215/VUPCH_PF_Burgerova_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o.sk/public/media/4214/VUPCH_PF_Kovalcikova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po.sk/public/media/4211/VUPCH_PF_Liptakov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ipo.sk/public/media/4215/VUPCH_PF_Lib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ipo.sk/public/media/4213/VUPCH_PF_Klein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PF TU_opis_ HIK_pracovné právo_DB.docx</dc:title>
  <dc:subject/>
  <dc:creator>admin</dc:creator>
  <cp:keywords/>
  <cp:lastModifiedBy>Klimovič Martin</cp:lastModifiedBy>
  <cp:revision>34</cp:revision>
  <dcterms:created xsi:type="dcterms:W3CDTF">2022-09-13T07:01:00Z</dcterms:created>
  <dcterms:modified xsi:type="dcterms:W3CDTF">2022-09-13T09:04:00Z</dcterms:modified>
</cp:coreProperties>
</file>