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0C2ABE" w14:textId="3C20FD2A" w:rsidR="00B8128B" w:rsidRPr="002716CB" w:rsidRDefault="00786DB6" w:rsidP="00E12E84">
      <w:pPr>
        <w:pBdr>
          <w:top w:val="none" w:sz="0" w:space="0" w:color="auto"/>
          <w:left w:val="none" w:sz="0" w:space="0" w:color="auto"/>
          <w:bottom w:val="none" w:sz="0" w:space="0" w:color="auto"/>
          <w:right w:val="none" w:sz="0" w:space="0" w:color="auto"/>
        </w:pBdr>
        <w:spacing w:after="0" w:line="276" w:lineRule="auto"/>
        <w:ind w:left="142" w:right="73" w:firstLine="0"/>
        <w:jc w:val="center"/>
        <w:rPr>
          <w:rFonts w:ascii="Tw Cen MT" w:hAnsi="Tw Cen MT" w:cs="Times New Roman"/>
          <w:color w:val="auto"/>
          <w:lang w:val="en-US"/>
        </w:rPr>
      </w:pPr>
      <w:r w:rsidRPr="002716CB">
        <w:rPr>
          <w:rFonts w:ascii="Tw Cen MT" w:hAnsi="Tw Cen MT" w:cs="Times New Roman"/>
          <w:b/>
          <w:color w:val="auto"/>
          <w:lang w:val="en-US"/>
        </w:rPr>
        <w:t>DESCRIPTION OF THE FIELD OF THE HABILITATION AND INAUGURATION PROCEDURE</w:t>
      </w:r>
    </w:p>
    <w:p w14:paraId="5D86D3FD" w14:textId="716CA9C7" w:rsidR="00B8128B" w:rsidRPr="002716CB" w:rsidRDefault="006A6976" w:rsidP="00E12E84">
      <w:pPr>
        <w:pBdr>
          <w:top w:val="none" w:sz="0" w:space="0" w:color="auto"/>
          <w:left w:val="none" w:sz="0" w:space="0" w:color="auto"/>
          <w:bottom w:val="none" w:sz="0" w:space="0" w:color="auto"/>
          <w:right w:val="none" w:sz="0" w:space="0" w:color="auto"/>
        </w:pBdr>
        <w:spacing w:after="0" w:line="276" w:lineRule="auto"/>
        <w:ind w:left="142" w:right="73" w:firstLine="0"/>
        <w:jc w:val="left"/>
        <w:rPr>
          <w:rFonts w:ascii="Tw Cen MT" w:hAnsi="Tw Cen MT" w:cs="Times New Roman"/>
          <w:lang w:val="en-US"/>
        </w:rPr>
      </w:pPr>
      <w:r w:rsidRPr="002716CB">
        <w:rPr>
          <w:rFonts w:ascii="Tw Cen MT" w:hAnsi="Tw Cen MT" w:cs="Times New Roman"/>
          <w:b/>
          <w:lang w:val="en-US"/>
        </w:rPr>
        <w:t xml:space="preserve"> </w:t>
      </w:r>
      <w:r w:rsidRPr="002716CB">
        <w:rPr>
          <w:rFonts w:ascii="Tw Cen MT" w:hAnsi="Tw Cen MT" w:cs="Times New Roman"/>
          <w:lang w:val="en-US"/>
        </w:rPr>
        <w:t xml:space="preserve"> </w:t>
      </w:r>
    </w:p>
    <w:tbl>
      <w:tblPr>
        <w:tblStyle w:val="Mriekatabuky1"/>
        <w:tblW w:w="9736" w:type="dxa"/>
        <w:tblInd w:w="-102" w:type="dxa"/>
        <w:tblCellMar>
          <w:top w:w="52" w:type="dxa"/>
          <w:left w:w="107" w:type="dxa"/>
          <w:right w:w="115" w:type="dxa"/>
        </w:tblCellMar>
        <w:tblLook w:val="04A0" w:firstRow="1" w:lastRow="0" w:firstColumn="1" w:lastColumn="0" w:noHBand="0" w:noVBand="1"/>
      </w:tblPr>
      <w:tblGrid>
        <w:gridCol w:w="3783"/>
        <w:gridCol w:w="5953"/>
      </w:tblGrid>
      <w:tr w:rsidR="00175869" w:rsidRPr="002716CB" w14:paraId="23C2CE0A" w14:textId="77777777" w:rsidTr="00175869">
        <w:trPr>
          <w:trHeight w:val="302"/>
        </w:trPr>
        <w:tc>
          <w:tcPr>
            <w:tcW w:w="3783" w:type="dxa"/>
            <w:tcBorders>
              <w:top w:val="single" w:sz="4" w:space="0" w:color="000000"/>
              <w:left w:val="single" w:sz="4" w:space="0" w:color="000000"/>
              <w:bottom w:val="single" w:sz="4" w:space="0" w:color="000000"/>
              <w:right w:val="single" w:sz="4" w:space="0" w:color="000000"/>
            </w:tcBorders>
            <w:shd w:val="clear" w:color="auto" w:fill="auto"/>
          </w:tcPr>
          <w:p w14:paraId="7D5769F5" w14:textId="62500954" w:rsidR="00175869" w:rsidRPr="002716CB" w:rsidRDefault="00175869" w:rsidP="00E12E84">
            <w:pPr>
              <w:pBdr>
                <w:top w:val="none" w:sz="0" w:space="0" w:color="auto"/>
                <w:left w:val="none" w:sz="0" w:space="0" w:color="auto"/>
                <w:bottom w:val="none" w:sz="0" w:space="0" w:color="auto"/>
                <w:right w:val="none" w:sz="0" w:space="0" w:color="auto"/>
              </w:pBdr>
              <w:spacing w:after="0" w:line="276" w:lineRule="auto"/>
              <w:ind w:left="0" w:right="73" w:firstLine="0"/>
              <w:jc w:val="left"/>
              <w:rPr>
                <w:rFonts w:ascii="Tw Cen MT" w:hAnsi="Tw Cen MT" w:cs="Times New Roman"/>
                <w:lang w:val="en-US"/>
              </w:rPr>
            </w:pPr>
            <w:r w:rsidRPr="002716CB">
              <w:rPr>
                <w:rFonts w:ascii="Tw Cen MT" w:hAnsi="Tw Cen MT" w:cs="Times New Roman"/>
                <w:b/>
                <w:lang w:val="en-US"/>
              </w:rPr>
              <w:t>Name of the field of habilitation and inauguration proceeding</w:t>
            </w:r>
          </w:p>
        </w:tc>
        <w:tc>
          <w:tcPr>
            <w:tcW w:w="5953" w:type="dxa"/>
            <w:tcBorders>
              <w:top w:val="single" w:sz="4" w:space="0" w:color="000000"/>
              <w:left w:val="single" w:sz="4" w:space="0" w:color="000000"/>
              <w:bottom w:val="single" w:sz="4" w:space="0" w:color="000000"/>
              <w:right w:val="single" w:sz="4" w:space="0" w:color="000000"/>
            </w:tcBorders>
          </w:tcPr>
          <w:p w14:paraId="1D88CA3A" w14:textId="3B6DF376" w:rsidR="00175869" w:rsidRPr="002716CB" w:rsidRDefault="00175869" w:rsidP="00E12E84">
            <w:pPr>
              <w:pBdr>
                <w:top w:val="none" w:sz="0" w:space="0" w:color="auto"/>
                <w:left w:val="none" w:sz="0" w:space="0" w:color="auto"/>
                <w:bottom w:val="none" w:sz="0" w:space="0" w:color="auto"/>
                <w:right w:val="none" w:sz="0" w:space="0" w:color="auto"/>
              </w:pBdr>
              <w:spacing w:after="0" w:line="276" w:lineRule="auto"/>
              <w:ind w:left="5" w:right="73" w:firstLine="0"/>
              <w:jc w:val="left"/>
              <w:rPr>
                <w:rFonts w:ascii="Tw Cen MT" w:hAnsi="Tw Cen MT" w:cs="Times New Roman"/>
                <w:lang w:val="en-US"/>
              </w:rPr>
            </w:pPr>
            <w:r w:rsidRPr="002716CB">
              <w:rPr>
                <w:rFonts w:ascii="Tw Cen MT" w:hAnsi="Tw Cen MT" w:cs="Times New Roman"/>
                <w:lang w:val="en-US"/>
              </w:rPr>
              <w:t>preschool and elementary education</w:t>
            </w:r>
          </w:p>
        </w:tc>
      </w:tr>
      <w:tr w:rsidR="00175869" w:rsidRPr="002716CB" w14:paraId="334BD09D" w14:textId="77777777" w:rsidTr="00175869">
        <w:trPr>
          <w:trHeight w:val="596"/>
        </w:trPr>
        <w:tc>
          <w:tcPr>
            <w:tcW w:w="3783" w:type="dxa"/>
            <w:tcBorders>
              <w:top w:val="single" w:sz="4" w:space="0" w:color="000000"/>
              <w:left w:val="single" w:sz="4" w:space="0" w:color="000000"/>
              <w:bottom w:val="single" w:sz="4" w:space="0" w:color="000000"/>
              <w:right w:val="single" w:sz="4" w:space="0" w:color="000000"/>
            </w:tcBorders>
            <w:shd w:val="clear" w:color="auto" w:fill="auto"/>
          </w:tcPr>
          <w:p w14:paraId="03672D9A" w14:textId="1D69E41D" w:rsidR="00175869" w:rsidRPr="002716CB" w:rsidRDefault="00175869" w:rsidP="00E12E84">
            <w:pPr>
              <w:pBdr>
                <w:top w:val="none" w:sz="0" w:space="0" w:color="auto"/>
                <w:left w:val="none" w:sz="0" w:space="0" w:color="auto"/>
                <w:bottom w:val="none" w:sz="0" w:space="0" w:color="auto"/>
                <w:right w:val="none" w:sz="0" w:space="0" w:color="auto"/>
              </w:pBdr>
              <w:spacing w:after="0" w:line="276" w:lineRule="auto"/>
              <w:ind w:left="0" w:right="73" w:firstLine="0"/>
              <w:jc w:val="left"/>
              <w:rPr>
                <w:rFonts w:ascii="Tw Cen MT" w:hAnsi="Tw Cen MT" w:cs="Times New Roman"/>
                <w:lang w:val="en-US"/>
              </w:rPr>
            </w:pPr>
            <w:r w:rsidRPr="002716CB">
              <w:rPr>
                <w:rFonts w:ascii="Tw Cen MT" w:hAnsi="Tw Cen MT" w:cs="Times New Roman"/>
                <w:b/>
                <w:lang w:val="en-US"/>
              </w:rPr>
              <w:t>Name of the study field(s), to which the field of habilitation and inauguration proceeding is assigned</w:t>
            </w:r>
          </w:p>
        </w:tc>
        <w:tc>
          <w:tcPr>
            <w:tcW w:w="5953" w:type="dxa"/>
            <w:tcBorders>
              <w:top w:val="single" w:sz="4" w:space="0" w:color="000000"/>
              <w:left w:val="single" w:sz="4" w:space="0" w:color="000000"/>
              <w:bottom w:val="single" w:sz="4" w:space="0" w:color="000000"/>
              <w:right w:val="single" w:sz="4" w:space="0" w:color="000000"/>
            </w:tcBorders>
          </w:tcPr>
          <w:p w14:paraId="284D29DD" w14:textId="5B41F075" w:rsidR="00175869" w:rsidRPr="002716CB" w:rsidRDefault="00175869" w:rsidP="00E12E84">
            <w:pPr>
              <w:pBdr>
                <w:top w:val="none" w:sz="0" w:space="0" w:color="auto"/>
                <w:left w:val="none" w:sz="0" w:space="0" w:color="auto"/>
                <w:bottom w:val="none" w:sz="0" w:space="0" w:color="auto"/>
                <w:right w:val="none" w:sz="0" w:space="0" w:color="auto"/>
              </w:pBdr>
              <w:spacing w:after="0" w:line="276" w:lineRule="auto"/>
              <w:ind w:left="5" w:right="73" w:firstLine="0"/>
              <w:jc w:val="left"/>
              <w:rPr>
                <w:rFonts w:ascii="Tw Cen MT" w:hAnsi="Tw Cen MT" w:cs="Times New Roman"/>
                <w:lang w:val="en-US"/>
              </w:rPr>
            </w:pPr>
            <w:r w:rsidRPr="002716CB">
              <w:rPr>
                <w:rFonts w:ascii="Tw Cen MT" w:hAnsi="Tw Cen MT" w:cs="Times New Roman"/>
                <w:bCs/>
                <w:lang w:val="en-US"/>
              </w:rPr>
              <w:t>teaching and educational sciences</w:t>
            </w:r>
          </w:p>
        </w:tc>
      </w:tr>
      <w:tr w:rsidR="00175869" w:rsidRPr="002716CB" w14:paraId="36013B84" w14:textId="77777777" w:rsidTr="00175869">
        <w:trPr>
          <w:trHeight w:val="889"/>
        </w:trPr>
        <w:tc>
          <w:tcPr>
            <w:tcW w:w="3783" w:type="dxa"/>
            <w:tcBorders>
              <w:top w:val="single" w:sz="4" w:space="0" w:color="000000"/>
              <w:left w:val="single" w:sz="4" w:space="0" w:color="000000"/>
              <w:bottom w:val="single" w:sz="4" w:space="0" w:color="000000"/>
              <w:right w:val="single" w:sz="4" w:space="0" w:color="000000"/>
            </w:tcBorders>
            <w:shd w:val="clear" w:color="auto" w:fill="auto"/>
          </w:tcPr>
          <w:p w14:paraId="7E8EDBE4" w14:textId="5D5A3A7F" w:rsidR="00175869" w:rsidRPr="002716CB" w:rsidRDefault="00175869" w:rsidP="00E12E84">
            <w:pPr>
              <w:pBdr>
                <w:top w:val="none" w:sz="0" w:space="0" w:color="auto"/>
                <w:left w:val="none" w:sz="0" w:space="0" w:color="auto"/>
                <w:bottom w:val="none" w:sz="0" w:space="0" w:color="auto"/>
                <w:right w:val="none" w:sz="0" w:space="0" w:color="auto"/>
              </w:pBdr>
              <w:spacing w:after="0" w:line="276" w:lineRule="auto"/>
              <w:ind w:left="0" w:right="73" w:firstLine="0"/>
              <w:jc w:val="left"/>
              <w:rPr>
                <w:rFonts w:ascii="Tw Cen MT" w:hAnsi="Tw Cen MT" w:cs="Times New Roman"/>
                <w:lang w:val="en-US"/>
              </w:rPr>
            </w:pPr>
            <w:r w:rsidRPr="002716CB">
              <w:rPr>
                <w:rFonts w:ascii="Tw Cen MT" w:hAnsi="Tw Cen MT" w:cs="Times New Roman"/>
                <w:b/>
                <w:lang w:val="en-US"/>
              </w:rPr>
              <w:t xml:space="preserve">Name of the study </w:t>
            </w:r>
            <w:proofErr w:type="spellStart"/>
            <w:r w:rsidRPr="002716CB">
              <w:rPr>
                <w:rFonts w:ascii="Tw Cen MT" w:hAnsi="Tw Cen MT" w:cs="Times New Roman"/>
                <w:b/>
                <w:lang w:val="en-US"/>
              </w:rPr>
              <w:t>programmes</w:t>
            </w:r>
            <w:proofErr w:type="spellEnd"/>
            <w:r w:rsidRPr="002716CB">
              <w:rPr>
                <w:rFonts w:ascii="Tw Cen MT" w:hAnsi="Tw Cen MT" w:cs="Times New Roman"/>
                <w:b/>
                <w:lang w:val="en-US"/>
              </w:rPr>
              <w:t xml:space="preserve"> (3</w:t>
            </w:r>
            <w:r w:rsidRPr="002716CB">
              <w:rPr>
                <w:rFonts w:ascii="Tw Cen MT" w:hAnsi="Tw Cen MT" w:cs="Times New Roman"/>
                <w:b/>
                <w:vertAlign w:val="superscript"/>
                <w:lang w:val="en-US"/>
              </w:rPr>
              <w:t>rd</w:t>
            </w:r>
            <w:r w:rsidRPr="002716CB">
              <w:rPr>
                <w:rFonts w:ascii="Tw Cen MT" w:hAnsi="Tw Cen MT" w:cs="Times New Roman"/>
                <w:b/>
                <w:lang w:val="en-US"/>
              </w:rPr>
              <w:t xml:space="preserve"> degree of study), to which the field of habilitation and inauguration proceeding is assigned</w:t>
            </w:r>
          </w:p>
        </w:tc>
        <w:tc>
          <w:tcPr>
            <w:tcW w:w="5953" w:type="dxa"/>
            <w:tcBorders>
              <w:top w:val="single" w:sz="4" w:space="0" w:color="000000"/>
              <w:left w:val="single" w:sz="4" w:space="0" w:color="000000"/>
              <w:bottom w:val="single" w:sz="4" w:space="0" w:color="000000"/>
              <w:right w:val="single" w:sz="4" w:space="0" w:color="000000"/>
            </w:tcBorders>
          </w:tcPr>
          <w:p w14:paraId="4996B742" w14:textId="5FBF9086" w:rsidR="00175869" w:rsidRPr="002716CB" w:rsidRDefault="00175869" w:rsidP="00E12E84">
            <w:pPr>
              <w:pBdr>
                <w:top w:val="none" w:sz="0" w:space="0" w:color="auto"/>
                <w:left w:val="none" w:sz="0" w:space="0" w:color="auto"/>
                <w:bottom w:val="none" w:sz="0" w:space="0" w:color="auto"/>
                <w:right w:val="none" w:sz="0" w:space="0" w:color="auto"/>
              </w:pBdr>
              <w:spacing w:after="0" w:line="276" w:lineRule="auto"/>
              <w:ind w:left="5" w:right="73" w:firstLine="0"/>
              <w:jc w:val="left"/>
              <w:rPr>
                <w:rFonts w:ascii="Tw Cen MT" w:hAnsi="Tw Cen MT" w:cs="Times New Roman"/>
                <w:lang w:val="en-US"/>
              </w:rPr>
            </w:pPr>
            <w:r w:rsidRPr="002716CB">
              <w:rPr>
                <w:rFonts w:ascii="Tw Cen MT" w:hAnsi="Tw Cen MT" w:cs="Times New Roman"/>
                <w:lang w:val="en-US"/>
              </w:rPr>
              <w:t>preschool and elementary education</w:t>
            </w:r>
          </w:p>
        </w:tc>
      </w:tr>
      <w:tr w:rsidR="00175869" w:rsidRPr="002716CB" w14:paraId="6F94E6FB" w14:textId="77777777" w:rsidTr="00175869">
        <w:trPr>
          <w:trHeight w:val="888"/>
        </w:trPr>
        <w:tc>
          <w:tcPr>
            <w:tcW w:w="3783" w:type="dxa"/>
            <w:tcBorders>
              <w:top w:val="single" w:sz="4" w:space="0" w:color="000000"/>
              <w:left w:val="single" w:sz="4" w:space="0" w:color="000000"/>
              <w:bottom w:val="single" w:sz="4" w:space="0" w:color="000000"/>
              <w:right w:val="single" w:sz="4" w:space="0" w:color="000000"/>
            </w:tcBorders>
            <w:shd w:val="clear" w:color="auto" w:fill="auto"/>
          </w:tcPr>
          <w:p w14:paraId="6854F6F1" w14:textId="6902CDDC" w:rsidR="00175869" w:rsidRPr="002716CB" w:rsidRDefault="00175869" w:rsidP="00E12E84">
            <w:pPr>
              <w:pBdr>
                <w:top w:val="none" w:sz="0" w:space="0" w:color="auto"/>
                <w:left w:val="none" w:sz="0" w:space="0" w:color="auto"/>
                <w:bottom w:val="none" w:sz="0" w:space="0" w:color="auto"/>
                <w:right w:val="none" w:sz="0" w:space="0" w:color="auto"/>
              </w:pBdr>
              <w:spacing w:after="0" w:line="276" w:lineRule="auto"/>
              <w:ind w:left="0" w:right="73" w:firstLine="0"/>
              <w:jc w:val="left"/>
              <w:rPr>
                <w:rFonts w:ascii="Tw Cen MT" w:hAnsi="Tw Cen MT" w:cs="Times New Roman"/>
                <w:lang w:val="en-US"/>
              </w:rPr>
            </w:pPr>
            <w:r w:rsidRPr="002716CB">
              <w:rPr>
                <w:rFonts w:ascii="Tw Cen MT" w:hAnsi="Tw Cen MT" w:cs="Times New Roman"/>
                <w:b/>
                <w:lang w:val="en-US"/>
              </w:rPr>
              <w:t xml:space="preserve">Name of the study </w:t>
            </w:r>
            <w:proofErr w:type="spellStart"/>
            <w:r w:rsidRPr="002716CB">
              <w:rPr>
                <w:rFonts w:ascii="Tw Cen MT" w:hAnsi="Tw Cen MT" w:cs="Times New Roman"/>
                <w:b/>
                <w:lang w:val="en-US"/>
              </w:rPr>
              <w:t>programmes</w:t>
            </w:r>
            <w:proofErr w:type="spellEnd"/>
            <w:r w:rsidRPr="002716CB">
              <w:rPr>
                <w:rFonts w:ascii="Tw Cen MT" w:hAnsi="Tw Cen MT" w:cs="Times New Roman"/>
                <w:b/>
                <w:lang w:val="en-US"/>
              </w:rPr>
              <w:t xml:space="preserve"> (2</w:t>
            </w:r>
            <w:r w:rsidRPr="002716CB">
              <w:rPr>
                <w:rFonts w:ascii="Tw Cen MT" w:hAnsi="Tw Cen MT" w:cs="Times New Roman"/>
                <w:b/>
                <w:vertAlign w:val="superscript"/>
                <w:lang w:val="en-US"/>
              </w:rPr>
              <w:t>nd</w:t>
            </w:r>
            <w:r w:rsidRPr="002716CB">
              <w:rPr>
                <w:rFonts w:ascii="Tw Cen MT" w:hAnsi="Tw Cen MT" w:cs="Times New Roman"/>
                <w:b/>
                <w:lang w:val="en-US"/>
              </w:rPr>
              <w:t xml:space="preserve"> degree of study), to which the field of habilitation and inauguration proceeding is assigned</w:t>
            </w:r>
          </w:p>
        </w:tc>
        <w:tc>
          <w:tcPr>
            <w:tcW w:w="5953" w:type="dxa"/>
            <w:tcBorders>
              <w:top w:val="single" w:sz="4" w:space="0" w:color="000000"/>
              <w:left w:val="single" w:sz="4" w:space="0" w:color="000000"/>
              <w:bottom w:val="single" w:sz="4" w:space="0" w:color="000000"/>
              <w:right w:val="single" w:sz="4" w:space="0" w:color="000000"/>
            </w:tcBorders>
          </w:tcPr>
          <w:p w14:paraId="1E925A0A" w14:textId="417D5433" w:rsidR="00175869" w:rsidRPr="002716CB" w:rsidRDefault="00175869" w:rsidP="00E12E84">
            <w:pPr>
              <w:pBdr>
                <w:top w:val="none" w:sz="0" w:space="0" w:color="auto"/>
                <w:left w:val="none" w:sz="0" w:space="0" w:color="auto"/>
                <w:bottom w:val="none" w:sz="0" w:space="0" w:color="auto"/>
                <w:right w:val="none" w:sz="0" w:space="0" w:color="auto"/>
              </w:pBdr>
              <w:spacing w:after="0" w:line="276" w:lineRule="auto"/>
              <w:ind w:left="5" w:right="73" w:firstLine="0"/>
              <w:jc w:val="left"/>
              <w:rPr>
                <w:rFonts w:ascii="Tw Cen MT" w:hAnsi="Tw Cen MT" w:cs="Times New Roman"/>
                <w:lang w:val="en-US"/>
              </w:rPr>
            </w:pPr>
            <w:r w:rsidRPr="002716CB">
              <w:rPr>
                <w:rFonts w:ascii="Tw Cen MT" w:hAnsi="Tw Cen MT" w:cs="Times New Roman"/>
                <w:bCs/>
                <w:lang w:val="en-US"/>
              </w:rPr>
              <w:t>primary education teaching, primary education teaching and the education of the psychosocially impaired, preschool education</w:t>
            </w:r>
          </w:p>
        </w:tc>
      </w:tr>
    </w:tbl>
    <w:p w14:paraId="3E6E119C" w14:textId="77777777" w:rsidR="00B8128B" w:rsidRPr="002716CB" w:rsidRDefault="006A6976" w:rsidP="00E12E84">
      <w:pPr>
        <w:pBdr>
          <w:top w:val="none" w:sz="0" w:space="0" w:color="auto"/>
          <w:left w:val="none" w:sz="0" w:space="0" w:color="auto"/>
          <w:bottom w:val="none" w:sz="0" w:space="0" w:color="auto"/>
          <w:right w:val="none" w:sz="0" w:space="0" w:color="auto"/>
        </w:pBdr>
        <w:spacing w:after="0" w:line="276" w:lineRule="auto"/>
        <w:ind w:left="142" w:right="73" w:firstLine="0"/>
        <w:jc w:val="left"/>
        <w:rPr>
          <w:rFonts w:ascii="Tw Cen MT" w:hAnsi="Tw Cen MT" w:cs="Times New Roman"/>
          <w:lang w:val="en-US"/>
        </w:rPr>
      </w:pPr>
      <w:r w:rsidRPr="002716CB">
        <w:rPr>
          <w:rFonts w:ascii="Tw Cen MT" w:hAnsi="Tw Cen MT" w:cs="Times New Roman"/>
          <w:b/>
          <w:lang w:val="en-US"/>
        </w:rPr>
        <w:t xml:space="preserve"> </w:t>
      </w:r>
    </w:p>
    <w:tbl>
      <w:tblPr>
        <w:tblStyle w:val="Mriekatabuky1"/>
        <w:tblW w:w="9741" w:type="dxa"/>
        <w:tblInd w:w="-107" w:type="dxa"/>
        <w:tblCellMar>
          <w:top w:w="52" w:type="dxa"/>
          <w:left w:w="107" w:type="dxa"/>
        </w:tblCellMar>
        <w:tblLook w:val="04A0" w:firstRow="1" w:lastRow="0" w:firstColumn="1" w:lastColumn="0" w:noHBand="0" w:noVBand="1"/>
      </w:tblPr>
      <w:tblGrid>
        <w:gridCol w:w="9741"/>
      </w:tblGrid>
      <w:tr w:rsidR="00B8128B" w:rsidRPr="002716CB" w14:paraId="068D10AD" w14:textId="77777777" w:rsidTr="00EF0C83">
        <w:trPr>
          <w:trHeight w:val="300"/>
        </w:trPr>
        <w:tc>
          <w:tcPr>
            <w:tcW w:w="974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F9E4A16" w14:textId="47B848D6" w:rsidR="00B8128B" w:rsidRPr="002716CB" w:rsidRDefault="00C80B1F" w:rsidP="00E12E84">
            <w:pPr>
              <w:pBdr>
                <w:top w:val="none" w:sz="0" w:space="0" w:color="auto"/>
                <w:left w:val="none" w:sz="0" w:space="0" w:color="auto"/>
                <w:bottom w:val="none" w:sz="0" w:space="0" w:color="auto"/>
                <w:right w:val="none" w:sz="0" w:space="0" w:color="auto"/>
              </w:pBdr>
              <w:spacing w:after="0" w:line="276" w:lineRule="auto"/>
              <w:ind w:left="0" w:right="73" w:firstLine="0"/>
              <w:jc w:val="left"/>
              <w:rPr>
                <w:rFonts w:ascii="Tw Cen MT" w:hAnsi="Tw Cen MT" w:cs="Times New Roman"/>
                <w:lang w:val="en-US"/>
              </w:rPr>
            </w:pPr>
            <w:r w:rsidRPr="002716CB">
              <w:rPr>
                <w:rFonts w:ascii="Tw Cen MT" w:hAnsi="Tw Cen MT" w:cs="Times New Roman"/>
                <w:b/>
                <w:bCs/>
                <w:lang w:val="en-US"/>
              </w:rPr>
              <w:t>The content of the field of the habilitation and the inauguration proceedings</w:t>
            </w:r>
          </w:p>
        </w:tc>
      </w:tr>
      <w:tr w:rsidR="00B8128B" w:rsidRPr="002716CB" w14:paraId="193E6FCE" w14:textId="77777777" w:rsidTr="00EF0C83">
        <w:trPr>
          <w:trHeight w:val="1838"/>
        </w:trPr>
        <w:tc>
          <w:tcPr>
            <w:tcW w:w="97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681DD9" w14:textId="1C0AED9C" w:rsidR="00A12BDE" w:rsidRPr="002716CB" w:rsidRDefault="00A12BDE" w:rsidP="00E12E84">
            <w:pPr>
              <w:pBdr>
                <w:top w:val="none" w:sz="0" w:space="0" w:color="auto"/>
                <w:left w:val="none" w:sz="0" w:space="0" w:color="auto"/>
                <w:bottom w:val="none" w:sz="0" w:space="0" w:color="auto"/>
                <w:right w:val="none" w:sz="0" w:space="0" w:color="auto"/>
              </w:pBdr>
              <w:spacing w:after="0" w:line="276" w:lineRule="auto"/>
              <w:ind w:left="0" w:right="133" w:firstLine="0"/>
              <w:rPr>
                <w:rFonts w:ascii="Tw Cen MT" w:hAnsi="Tw Cen MT" w:cs="Times New Roman"/>
                <w:lang w:val="en-US"/>
              </w:rPr>
            </w:pPr>
            <w:r w:rsidRPr="002716CB">
              <w:rPr>
                <w:rFonts w:ascii="Tw Cen MT" w:hAnsi="Tw Cen MT" w:cs="Times New Roman"/>
                <w:b/>
                <w:lang w:val="en-US"/>
              </w:rPr>
              <w:t>Name of the field of habilitation and inauguration proceeding</w:t>
            </w:r>
            <w:r w:rsidR="00957761" w:rsidRPr="002716CB">
              <w:rPr>
                <w:rFonts w:ascii="Tw Cen MT" w:hAnsi="Tw Cen MT" w:cs="Times New Roman"/>
                <w:b/>
                <w:lang w:val="en-US"/>
              </w:rPr>
              <w:t>s</w:t>
            </w:r>
            <w:r w:rsidRPr="002716CB">
              <w:rPr>
                <w:rFonts w:ascii="Tw Cen MT" w:hAnsi="Tw Cen MT" w:cs="Times New Roman"/>
                <w:lang w:val="en-US"/>
              </w:rPr>
              <w:t>: preschool and elementary education</w:t>
            </w:r>
          </w:p>
          <w:p w14:paraId="13936961" w14:textId="6AB9F565" w:rsidR="00363DDD" w:rsidRPr="002716CB" w:rsidRDefault="00A12BDE" w:rsidP="00E12E84">
            <w:pPr>
              <w:pBdr>
                <w:top w:val="none" w:sz="0" w:space="0" w:color="auto"/>
                <w:left w:val="none" w:sz="0" w:space="0" w:color="auto"/>
                <w:bottom w:val="none" w:sz="0" w:space="0" w:color="auto"/>
                <w:right w:val="none" w:sz="0" w:space="0" w:color="auto"/>
              </w:pBdr>
              <w:spacing w:after="0" w:line="276" w:lineRule="auto"/>
              <w:ind w:left="0" w:right="73" w:firstLine="0"/>
              <w:rPr>
                <w:rFonts w:ascii="Tw Cen MT" w:hAnsi="Tw Cen MT" w:cs="Times New Roman"/>
                <w:lang w:val="en-US"/>
              </w:rPr>
            </w:pPr>
            <w:r w:rsidRPr="002716CB">
              <w:rPr>
                <w:rFonts w:ascii="Tw Cen MT" w:hAnsi="Tw Cen MT" w:cs="Times New Roman"/>
                <w:lang w:val="en-US"/>
              </w:rPr>
              <w:t>The content of the HIP is in line with the focus of the field of study Teaching and Educational Sciences and is aimed at and defined in the way to correspond with the key themes of the core knowledge of the field of study Teaching and Educational Sciences. Candidates present the results of their research and its practical implications in solving: 1. issues in preschool and elementary education related to philosophical, cognitivist, and sociological interpretations of educational phenomena, 2. more specific issues related to the research of didactic aspects within the distinct topics of preschool and primary education. The main content elements of the HIP field are: philosophical foundations of preschool and elementary education in relation to school reforms and trends in the Slovak Republic, bio-psycho-social aspects of preschool and primary education, educational trends in the digital age, didactics of selected content areas in preschool, leisure-time, and primary education: Slovak language and literature, mathematics, music education, art education, physical and sports education, fundaments of civics and natural science, homeland studies, natural science, ICT, and work education.</w:t>
            </w:r>
            <w:r w:rsidR="1541E2BD" w:rsidRPr="002716CB">
              <w:rPr>
                <w:rFonts w:ascii="Tw Cen MT" w:hAnsi="Tw Cen MT" w:cs="Times New Roman"/>
                <w:lang w:val="en-US"/>
              </w:rPr>
              <w:t xml:space="preserve">  </w:t>
            </w:r>
          </w:p>
        </w:tc>
      </w:tr>
    </w:tbl>
    <w:p w14:paraId="1A9BFFA9" w14:textId="3CF82114" w:rsidR="00B8128B" w:rsidRPr="002716CB" w:rsidRDefault="00B8128B" w:rsidP="00E12E84">
      <w:pPr>
        <w:pBdr>
          <w:top w:val="none" w:sz="0" w:space="0" w:color="auto"/>
          <w:left w:val="none" w:sz="0" w:space="0" w:color="auto"/>
          <w:bottom w:val="none" w:sz="0" w:space="0" w:color="auto"/>
          <w:right w:val="none" w:sz="0" w:space="0" w:color="auto"/>
        </w:pBdr>
        <w:spacing w:after="0" w:line="276" w:lineRule="auto"/>
        <w:ind w:left="142" w:right="73" w:firstLine="0"/>
        <w:jc w:val="left"/>
        <w:rPr>
          <w:rFonts w:ascii="Tw Cen MT" w:hAnsi="Tw Cen MT" w:cs="Times New Roman"/>
          <w:lang w:val="en-US"/>
        </w:rPr>
      </w:pPr>
    </w:p>
    <w:tbl>
      <w:tblPr>
        <w:tblStyle w:val="Mriekatabuky1"/>
        <w:tblW w:w="9741" w:type="dxa"/>
        <w:tblInd w:w="-107" w:type="dxa"/>
        <w:tblCellMar>
          <w:top w:w="52" w:type="dxa"/>
          <w:left w:w="107" w:type="dxa"/>
        </w:tblCellMar>
        <w:tblLook w:val="04A0" w:firstRow="1" w:lastRow="0" w:firstColumn="1" w:lastColumn="0" w:noHBand="0" w:noVBand="1"/>
      </w:tblPr>
      <w:tblGrid>
        <w:gridCol w:w="9741"/>
      </w:tblGrid>
      <w:tr w:rsidR="0087088D" w:rsidRPr="002716CB" w14:paraId="23A590C2" w14:textId="77777777" w:rsidTr="00805AC2">
        <w:trPr>
          <w:trHeight w:val="300"/>
        </w:trPr>
        <w:tc>
          <w:tcPr>
            <w:tcW w:w="974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8237754" w14:textId="63D4C30A" w:rsidR="0087088D" w:rsidRPr="002716CB" w:rsidRDefault="008504E7" w:rsidP="00E12E84">
            <w:pPr>
              <w:pBdr>
                <w:top w:val="none" w:sz="0" w:space="0" w:color="auto"/>
                <w:left w:val="none" w:sz="0" w:space="0" w:color="auto"/>
                <w:bottom w:val="none" w:sz="0" w:space="0" w:color="auto"/>
                <w:right w:val="none" w:sz="0" w:space="0" w:color="auto"/>
              </w:pBdr>
              <w:spacing w:after="0" w:line="276" w:lineRule="auto"/>
              <w:ind w:left="0" w:right="73" w:firstLine="0"/>
              <w:jc w:val="left"/>
              <w:rPr>
                <w:rFonts w:ascii="Tw Cen MT" w:hAnsi="Tw Cen MT" w:cs="Times New Roman"/>
                <w:lang w:val="en-US"/>
              </w:rPr>
            </w:pPr>
            <w:r w:rsidRPr="002716CB">
              <w:rPr>
                <w:rFonts w:ascii="Tw Cen MT" w:hAnsi="Tw Cen MT" w:cs="Times New Roman"/>
                <w:b/>
                <w:lang w:val="en-US"/>
              </w:rPr>
              <w:t>Definition of the field of the habilitation and inauguration procedure</w:t>
            </w:r>
          </w:p>
        </w:tc>
      </w:tr>
      <w:tr w:rsidR="0087088D" w:rsidRPr="002716CB" w14:paraId="63767465" w14:textId="77777777" w:rsidTr="00805AC2">
        <w:trPr>
          <w:trHeight w:val="651"/>
        </w:trPr>
        <w:tc>
          <w:tcPr>
            <w:tcW w:w="97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AA6F23" w14:textId="22A0B13D" w:rsidR="0087088D" w:rsidRPr="002716CB" w:rsidRDefault="00E85D7F" w:rsidP="00E12E84">
            <w:pPr>
              <w:pBdr>
                <w:top w:val="none" w:sz="0" w:space="0" w:color="auto"/>
                <w:left w:val="none" w:sz="0" w:space="0" w:color="auto"/>
                <w:bottom w:val="none" w:sz="0" w:space="0" w:color="auto"/>
                <w:right w:val="none" w:sz="0" w:space="0" w:color="auto"/>
              </w:pBdr>
              <w:spacing w:after="0" w:line="276" w:lineRule="auto"/>
              <w:ind w:left="0" w:right="73" w:firstLine="0"/>
              <w:rPr>
                <w:rFonts w:ascii="Tw Cen MT" w:hAnsi="Tw Cen MT"/>
                <w:lang w:val="en-US"/>
              </w:rPr>
            </w:pPr>
            <w:r w:rsidRPr="002716CB">
              <w:rPr>
                <w:rFonts w:ascii="Tw Cen MT" w:hAnsi="Tw Cen MT"/>
                <w:bCs/>
                <w:lang w:val="en-US"/>
              </w:rPr>
              <w:t xml:space="preserve">The field of habilitation and inauguration proceeding of preschool and elementary education is assigned to the field </w:t>
            </w:r>
            <w:r w:rsidRPr="002716CB">
              <w:rPr>
                <w:rFonts w:ascii="Tw Cen MT" w:hAnsi="Tw Cen MT" w:cstheme="minorHAnsi"/>
                <w:bCs/>
                <w:lang w:val="en-US"/>
              </w:rPr>
              <w:t>Teaching and Educational sciences</w:t>
            </w:r>
            <w:r w:rsidRPr="002716CB">
              <w:rPr>
                <w:rFonts w:ascii="Tw Cen MT" w:hAnsi="Tw Cen MT" w:cstheme="minorHAnsi"/>
                <w:bCs/>
                <w:lang w:val="en-US"/>
              </w:rPr>
              <w:t>.</w:t>
            </w:r>
            <w:r w:rsidRPr="002716CB">
              <w:rPr>
                <w:rFonts w:ascii="Tw Cen MT" w:hAnsi="Tw Cen MT"/>
                <w:lang w:val="en-US"/>
              </w:rPr>
              <w:t xml:space="preserve"> </w:t>
            </w:r>
            <w:r w:rsidR="005C4619" w:rsidRPr="002716CB">
              <w:rPr>
                <w:rFonts w:ascii="Tw Cen MT" w:hAnsi="Tw Cen MT"/>
                <w:lang w:val="en-US"/>
              </w:rPr>
              <w:t>T</w:t>
            </w:r>
            <w:r w:rsidR="00596CEA" w:rsidRPr="002716CB">
              <w:rPr>
                <w:rFonts w:ascii="Tw Cen MT" w:hAnsi="Tw Cen MT"/>
                <w:bCs/>
                <w:lang w:val="en-US"/>
              </w:rPr>
              <w:t xml:space="preserve">he HIP field of preschool and elementary education focuses on basic and applied research on educational aspects of preschool and primary education. It builds on the tertiary level study </w:t>
            </w:r>
            <w:proofErr w:type="spellStart"/>
            <w:r w:rsidR="00596CEA" w:rsidRPr="002716CB">
              <w:rPr>
                <w:rFonts w:ascii="Tw Cen MT" w:hAnsi="Tw Cen MT"/>
                <w:bCs/>
                <w:lang w:val="en-US"/>
              </w:rPr>
              <w:t>programme</w:t>
            </w:r>
            <w:proofErr w:type="spellEnd"/>
            <w:r w:rsidR="00596CEA" w:rsidRPr="002716CB">
              <w:rPr>
                <w:rFonts w:ascii="Tw Cen MT" w:hAnsi="Tw Cen MT"/>
                <w:bCs/>
                <w:lang w:val="en-US"/>
              </w:rPr>
              <w:t xml:space="preserve"> in preschool and elementary education in the field of teaching and educational sciences. The HIP field reflects current trends in pedagogical </w:t>
            </w:r>
            <w:r w:rsidR="00596CEA" w:rsidRPr="002716CB">
              <w:rPr>
                <w:rFonts w:ascii="Tw Cen MT" w:hAnsi="Tw Cen MT"/>
                <w:bCs/>
                <w:lang w:val="en-US"/>
              </w:rPr>
              <w:lastRenderedPageBreak/>
              <w:t xml:space="preserve">research and its interdisciplinary contexts. Within the framework of habilitation and inauguration proceedings, candidates present the results of their expertise in a wide range of pedagogical problems of preprimary and primary education. At the Faculty of Education of the University of </w:t>
            </w:r>
            <w:proofErr w:type="spellStart"/>
            <w:r w:rsidR="00596CEA" w:rsidRPr="002716CB">
              <w:rPr>
                <w:rFonts w:ascii="Tw Cen MT" w:hAnsi="Tw Cen MT"/>
                <w:bCs/>
                <w:lang w:val="en-US"/>
              </w:rPr>
              <w:t>Presov</w:t>
            </w:r>
            <w:proofErr w:type="spellEnd"/>
            <w:r w:rsidR="00596CEA" w:rsidRPr="002716CB">
              <w:rPr>
                <w:rFonts w:ascii="Tw Cen MT" w:hAnsi="Tw Cen MT"/>
                <w:bCs/>
                <w:lang w:val="en-US"/>
              </w:rPr>
              <w:t xml:space="preserve">, the rights for habilitation and inauguration proceeding have been granted since 2002. In order to increase the quality of both the processes and the outcomes of the HIP, a two-level procedure for the assessment of the submitted materials from the applicants has been created and implemented and verified in practice: Level 1 is represented by the assessment carried out by a three-member internal committee of the Faculty of Education, University of </w:t>
            </w:r>
            <w:proofErr w:type="spellStart"/>
            <w:r w:rsidR="00596CEA" w:rsidRPr="002716CB">
              <w:rPr>
                <w:rFonts w:ascii="Tw Cen MT" w:hAnsi="Tw Cen MT"/>
                <w:bCs/>
                <w:lang w:val="en-US"/>
              </w:rPr>
              <w:t>Presov</w:t>
            </w:r>
            <w:proofErr w:type="spellEnd"/>
            <w:r w:rsidR="00596CEA" w:rsidRPr="002716CB">
              <w:rPr>
                <w:rFonts w:ascii="Tw Cen MT" w:hAnsi="Tw Cen MT"/>
                <w:bCs/>
                <w:lang w:val="en-US"/>
              </w:rPr>
              <w:t>, reviewing the fulfilment of the minimum criteria for the habilitation and inauguration proceeding; Level 2 is represented by the evaluation of the habilitation committee and the inauguration committee.</w:t>
            </w:r>
          </w:p>
        </w:tc>
      </w:tr>
    </w:tbl>
    <w:p w14:paraId="096F7C82" w14:textId="240A8C1A" w:rsidR="00B8128B" w:rsidRPr="002716CB" w:rsidRDefault="00B8128B" w:rsidP="00E12E84">
      <w:pPr>
        <w:pBdr>
          <w:top w:val="none" w:sz="0" w:space="0" w:color="auto"/>
          <w:left w:val="none" w:sz="0" w:space="0" w:color="auto"/>
          <w:bottom w:val="none" w:sz="0" w:space="0" w:color="auto"/>
          <w:right w:val="none" w:sz="0" w:space="0" w:color="auto"/>
        </w:pBdr>
        <w:spacing w:after="0" w:line="276" w:lineRule="auto"/>
        <w:ind w:left="142" w:right="73" w:firstLine="0"/>
        <w:rPr>
          <w:rFonts w:ascii="Tw Cen MT" w:hAnsi="Tw Cen MT" w:cs="Times New Roman"/>
          <w:lang w:val="en-US"/>
        </w:rPr>
      </w:pPr>
    </w:p>
    <w:tbl>
      <w:tblPr>
        <w:tblStyle w:val="Mriekatabuky1"/>
        <w:tblW w:w="9741" w:type="dxa"/>
        <w:tblInd w:w="-107" w:type="dxa"/>
        <w:tblCellMar>
          <w:top w:w="52" w:type="dxa"/>
          <w:left w:w="107" w:type="dxa"/>
        </w:tblCellMar>
        <w:tblLook w:val="04A0" w:firstRow="1" w:lastRow="0" w:firstColumn="1" w:lastColumn="0" w:noHBand="0" w:noVBand="1"/>
      </w:tblPr>
      <w:tblGrid>
        <w:gridCol w:w="9741"/>
      </w:tblGrid>
      <w:tr w:rsidR="0087088D" w:rsidRPr="002716CB" w14:paraId="2F2BB914" w14:textId="77777777" w:rsidTr="00805AC2">
        <w:trPr>
          <w:trHeight w:val="300"/>
        </w:trPr>
        <w:tc>
          <w:tcPr>
            <w:tcW w:w="974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088121C" w14:textId="56B0E6A0" w:rsidR="0087088D" w:rsidRPr="002716CB" w:rsidRDefault="007E0E38" w:rsidP="00E12E84">
            <w:pPr>
              <w:pBdr>
                <w:top w:val="none" w:sz="0" w:space="0" w:color="auto"/>
                <w:left w:val="none" w:sz="0" w:space="0" w:color="auto"/>
                <w:bottom w:val="none" w:sz="0" w:space="0" w:color="auto"/>
                <w:right w:val="none" w:sz="0" w:space="0" w:color="auto"/>
              </w:pBdr>
              <w:spacing w:after="0" w:line="276" w:lineRule="auto"/>
              <w:ind w:left="0" w:right="73" w:firstLine="0"/>
              <w:jc w:val="left"/>
              <w:rPr>
                <w:rFonts w:ascii="Tw Cen MT" w:hAnsi="Tw Cen MT" w:cs="Times New Roman"/>
                <w:lang w:val="en-US"/>
              </w:rPr>
            </w:pPr>
            <w:r w:rsidRPr="002716CB">
              <w:rPr>
                <w:rFonts w:ascii="Tw Cen MT" w:hAnsi="Tw Cen MT" w:cs="Times New Roman"/>
                <w:b/>
                <w:bCs/>
                <w:lang w:val="en-US"/>
              </w:rPr>
              <w:t>The persons responsible for the development and quality assurance of the field of habilitation and inauguration proceedings</w:t>
            </w:r>
          </w:p>
        </w:tc>
      </w:tr>
      <w:tr w:rsidR="0087088D" w:rsidRPr="002716CB" w14:paraId="0D7B8A73" w14:textId="77777777" w:rsidTr="00805AC2">
        <w:trPr>
          <w:trHeight w:val="1838"/>
        </w:trPr>
        <w:tc>
          <w:tcPr>
            <w:tcW w:w="97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A7E2E3" w14:textId="11A37CD0" w:rsidR="0087088D" w:rsidRPr="002716CB" w:rsidRDefault="00000000" w:rsidP="00E12E84">
            <w:pPr>
              <w:pBdr>
                <w:top w:val="none" w:sz="0" w:space="0" w:color="auto"/>
                <w:left w:val="none" w:sz="0" w:space="0" w:color="auto"/>
                <w:bottom w:val="none" w:sz="0" w:space="0" w:color="auto"/>
                <w:right w:val="none" w:sz="0" w:space="0" w:color="auto"/>
              </w:pBdr>
              <w:spacing w:after="0" w:line="276" w:lineRule="auto"/>
              <w:ind w:left="37" w:right="73" w:firstLine="0"/>
              <w:jc w:val="left"/>
              <w:rPr>
                <w:rFonts w:ascii="Tw Cen MT" w:hAnsi="Tw Cen MT" w:cs="Times New Roman"/>
                <w:lang w:val="en-US"/>
              </w:rPr>
            </w:pPr>
            <w:hyperlink r:id="rId7" w:history="1">
              <w:r w:rsidR="0087088D" w:rsidRPr="002716CB">
                <w:rPr>
                  <w:rStyle w:val="Hypertextovprepojenie"/>
                  <w:rFonts w:ascii="Tw Cen MT" w:hAnsi="Tw Cen MT" w:cs="Times New Roman"/>
                  <w:lang w:val="en-US"/>
                </w:rPr>
                <w:t xml:space="preserve">prof. </w:t>
              </w:r>
              <w:proofErr w:type="spellStart"/>
              <w:r w:rsidR="0087088D" w:rsidRPr="002716CB">
                <w:rPr>
                  <w:rStyle w:val="Hypertextovprepojenie"/>
                  <w:rFonts w:ascii="Tw Cen MT" w:hAnsi="Tw Cen MT" w:cs="Times New Roman"/>
                  <w:lang w:val="en-US"/>
                </w:rPr>
                <w:t>PhDr</w:t>
              </w:r>
              <w:proofErr w:type="spellEnd"/>
              <w:r w:rsidR="0087088D" w:rsidRPr="002716CB">
                <w:rPr>
                  <w:rStyle w:val="Hypertextovprepojenie"/>
                  <w:rFonts w:ascii="Tw Cen MT" w:hAnsi="Tw Cen MT" w:cs="Times New Roman"/>
                  <w:lang w:val="en-US"/>
                </w:rPr>
                <w:t xml:space="preserve">. Iveta </w:t>
              </w:r>
              <w:proofErr w:type="spellStart"/>
              <w:r w:rsidR="0087088D" w:rsidRPr="002716CB">
                <w:rPr>
                  <w:rStyle w:val="Hypertextovprepojenie"/>
                  <w:rFonts w:ascii="Tw Cen MT" w:hAnsi="Tw Cen MT" w:cs="Times New Roman"/>
                  <w:lang w:val="en-US"/>
                </w:rPr>
                <w:t>Kovalčíková</w:t>
              </w:r>
              <w:proofErr w:type="spellEnd"/>
              <w:r w:rsidR="0087088D" w:rsidRPr="002716CB">
                <w:rPr>
                  <w:rStyle w:val="Hypertextovprepojenie"/>
                  <w:rFonts w:ascii="Tw Cen MT" w:hAnsi="Tw Cen MT" w:cs="Times New Roman"/>
                  <w:lang w:val="en-US"/>
                </w:rPr>
                <w:t>, PhD.</w:t>
              </w:r>
            </w:hyperlink>
            <w:r w:rsidR="0087088D" w:rsidRPr="002716CB">
              <w:rPr>
                <w:rFonts w:ascii="Tw Cen MT" w:hAnsi="Tw Cen MT" w:cs="Times New Roman"/>
                <w:lang w:val="en-US"/>
              </w:rPr>
              <w:t xml:space="preserve"> – </w:t>
            </w:r>
            <w:r w:rsidR="005C4619" w:rsidRPr="002716CB">
              <w:rPr>
                <w:rFonts w:ascii="Tw Cen MT" w:hAnsi="Tw Cen MT"/>
                <w:lang w:val="en-US"/>
              </w:rPr>
              <w:t>works in the field of HIK preschool and elementary education, field of study: teaching and educational sciences</w:t>
            </w:r>
          </w:p>
          <w:p w14:paraId="1FB7D324" w14:textId="7BBFDE17" w:rsidR="0087088D" w:rsidRPr="002716CB" w:rsidRDefault="00000000" w:rsidP="00E12E84">
            <w:pPr>
              <w:pBdr>
                <w:top w:val="none" w:sz="0" w:space="0" w:color="auto"/>
                <w:left w:val="none" w:sz="0" w:space="0" w:color="auto"/>
                <w:bottom w:val="none" w:sz="0" w:space="0" w:color="auto"/>
                <w:right w:val="none" w:sz="0" w:space="0" w:color="auto"/>
              </w:pBdr>
              <w:spacing w:after="0" w:line="276" w:lineRule="auto"/>
              <w:ind w:left="37" w:right="73" w:firstLine="0"/>
              <w:jc w:val="left"/>
              <w:rPr>
                <w:rFonts w:ascii="Tw Cen MT" w:hAnsi="Tw Cen MT" w:cs="Times New Roman"/>
                <w:lang w:val="en-US"/>
              </w:rPr>
            </w:pPr>
            <w:hyperlink r:id="rId8" w:history="1">
              <w:r w:rsidR="0087088D" w:rsidRPr="002716CB">
                <w:rPr>
                  <w:rStyle w:val="Hypertextovprepojenie"/>
                  <w:rFonts w:ascii="Tw Cen MT" w:hAnsi="Tw Cen MT" w:cs="Times New Roman"/>
                  <w:lang w:val="en-US"/>
                </w:rPr>
                <w:t xml:space="preserve">prof. Ing. Jana </w:t>
              </w:r>
              <w:proofErr w:type="spellStart"/>
              <w:r w:rsidR="0087088D" w:rsidRPr="002716CB">
                <w:rPr>
                  <w:rStyle w:val="Hypertextovprepojenie"/>
                  <w:rFonts w:ascii="Tw Cen MT" w:hAnsi="Tw Cen MT" w:cs="Times New Roman"/>
                  <w:lang w:val="en-US"/>
                </w:rPr>
                <w:t>Burgerová</w:t>
              </w:r>
              <w:proofErr w:type="spellEnd"/>
              <w:r w:rsidR="0087088D" w:rsidRPr="002716CB">
                <w:rPr>
                  <w:rStyle w:val="Hypertextovprepojenie"/>
                  <w:rFonts w:ascii="Tw Cen MT" w:hAnsi="Tw Cen MT" w:cs="Times New Roman"/>
                  <w:lang w:val="en-US"/>
                </w:rPr>
                <w:t>, PhD.</w:t>
              </w:r>
            </w:hyperlink>
            <w:r w:rsidR="0087088D" w:rsidRPr="002716CB">
              <w:rPr>
                <w:rFonts w:ascii="Tw Cen MT" w:hAnsi="Tw Cen MT" w:cs="Times New Roman"/>
                <w:lang w:val="en-US"/>
              </w:rPr>
              <w:t xml:space="preserve"> </w:t>
            </w:r>
            <w:r w:rsidR="00E12E84" w:rsidRPr="002716CB">
              <w:rPr>
                <w:rFonts w:ascii="Tw Cen MT" w:hAnsi="Tw Cen MT" w:cs="Times New Roman"/>
                <w:lang w:val="en-US"/>
              </w:rPr>
              <w:t xml:space="preserve">– </w:t>
            </w:r>
            <w:r w:rsidR="005C4619" w:rsidRPr="002716CB">
              <w:rPr>
                <w:rFonts w:ascii="Tw Cen MT" w:hAnsi="Tw Cen MT"/>
                <w:lang w:val="en-US"/>
              </w:rPr>
              <w:t>works in the field of HIK preschool and elementary education, field of study: teaching and educational sciences</w:t>
            </w:r>
          </w:p>
          <w:p w14:paraId="6A2BDA27" w14:textId="2CEA42EE" w:rsidR="0087088D" w:rsidRPr="002716CB" w:rsidRDefault="00000000" w:rsidP="00E12E84">
            <w:pPr>
              <w:pBdr>
                <w:top w:val="none" w:sz="0" w:space="0" w:color="auto"/>
                <w:left w:val="none" w:sz="0" w:space="0" w:color="auto"/>
                <w:bottom w:val="none" w:sz="0" w:space="0" w:color="auto"/>
                <w:right w:val="none" w:sz="0" w:space="0" w:color="auto"/>
              </w:pBdr>
              <w:spacing w:after="0" w:line="276" w:lineRule="auto"/>
              <w:ind w:left="37" w:right="73" w:firstLine="0"/>
              <w:jc w:val="left"/>
              <w:rPr>
                <w:rFonts w:ascii="Tw Cen MT" w:hAnsi="Tw Cen MT" w:cs="Times New Roman"/>
                <w:lang w:val="en-US"/>
              </w:rPr>
            </w:pPr>
            <w:hyperlink r:id="rId9" w:history="1">
              <w:r w:rsidR="0087088D" w:rsidRPr="002716CB">
                <w:rPr>
                  <w:rStyle w:val="Hypertextovprepojenie"/>
                  <w:rFonts w:ascii="Tw Cen MT" w:hAnsi="Tw Cen MT" w:cs="Times New Roman"/>
                  <w:lang w:val="en-US"/>
                </w:rPr>
                <w:t xml:space="preserve">prof. </w:t>
              </w:r>
              <w:proofErr w:type="spellStart"/>
              <w:r w:rsidR="0087088D" w:rsidRPr="002716CB">
                <w:rPr>
                  <w:rStyle w:val="Hypertextovprepojenie"/>
                  <w:rFonts w:ascii="Tw Cen MT" w:hAnsi="Tw Cen MT" w:cs="Times New Roman"/>
                  <w:lang w:val="en-US"/>
                </w:rPr>
                <w:t>PaedDr</w:t>
              </w:r>
              <w:proofErr w:type="spellEnd"/>
              <w:r w:rsidR="0087088D" w:rsidRPr="002716CB">
                <w:rPr>
                  <w:rStyle w:val="Hypertextovprepojenie"/>
                  <w:rFonts w:ascii="Tw Cen MT" w:hAnsi="Tw Cen MT" w:cs="Times New Roman"/>
                  <w:lang w:val="en-US"/>
                </w:rPr>
                <w:t xml:space="preserve">. </w:t>
              </w:r>
              <w:proofErr w:type="spellStart"/>
              <w:r w:rsidR="0087088D" w:rsidRPr="002716CB">
                <w:rPr>
                  <w:rStyle w:val="Hypertextovprepojenie"/>
                  <w:rFonts w:ascii="Tw Cen MT" w:hAnsi="Tw Cen MT" w:cs="Times New Roman"/>
                  <w:lang w:val="en-US"/>
                </w:rPr>
                <w:t>Vladimír</w:t>
              </w:r>
              <w:proofErr w:type="spellEnd"/>
              <w:r w:rsidR="0087088D" w:rsidRPr="002716CB">
                <w:rPr>
                  <w:rStyle w:val="Hypertextovprepojenie"/>
                  <w:rFonts w:ascii="Tw Cen MT" w:hAnsi="Tw Cen MT" w:cs="Times New Roman"/>
                  <w:lang w:val="en-US"/>
                </w:rPr>
                <w:t xml:space="preserve"> Klein, PhD.</w:t>
              </w:r>
            </w:hyperlink>
            <w:r w:rsidR="00E12E84" w:rsidRPr="002716CB">
              <w:rPr>
                <w:rFonts w:ascii="Tw Cen MT" w:hAnsi="Tw Cen MT" w:cs="Times New Roman"/>
                <w:lang w:val="en-US"/>
              </w:rPr>
              <w:t xml:space="preserve"> – </w:t>
            </w:r>
            <w:r w:rsidR="005C4619" w:rsidRPr="002716CB">
              <w:rPr>
                <w:rFonts w:ascii="Tw Cen MT" w:hAnsi="Tw Cen MT"/>
                <w:lang w:val="en-US"/>
              </w:rPr>
              <w:t>works in the field of HIK preschool and elementary education, field of study: teaching and educational sciences</w:t>
            </w:r>
          </w:p>
          <w:p w14:paraId="2F5CEE59" w14:textId="24347EEE" w:rsidR="0087088D" w:rsidRPr="002716CB" w:rsidRDefault="00000000" w:rsidP="00E12E84">
            <w:pPr>
              <w:pBdr>
                <w:top w:val="none" w:sz="0" w:space="0" w:color="auto"/>
                <w:left w:val="none" w:sz="0" w:space="0" w:color="auto"/>
                <w:bottom w:val="none" w:sz="0" w:space="0" w:color="auto"/>
                <w:right w:val="none" w:sz="0" w:space="0" w:color="auto"/>
              </w:pBdr>
              <w:spacing w:after="0" w:line="276" w:lineRule="auto"/>
              <w:ind w:left="37" w:right="73" w:firstLine="0"/>
              <w:jc w:val="left"/>
              <w:rPr>
                <w:rFonts w:ascii="Tw Cen MT" w:hAnsi="Tw Cen MT" w:cs="Times New Roman"/>
                <w:lang w:val="en-US"/>
              </w:rPr>
            </w:pPr>
            <w:hyperlink r:id="rId10" w:history="1">
              <w:r w:rsidR="0087088D" w:rsidRPr="002716CB">
                <w:rPr>
                  <w:rStyle w:val="Hypertextovprepojenie"/>
                  <w:rFonts w:ascii="Tw Cen MT" w:hAnsi="Tw Cen MT" w:cs="Times New Roman"/>
                  <w:lang w:val="en-US"/>
                </w:rPr>
                <w:t xml:space="preserve">prof. </w:t>
              </w:r>
              <w:proofErr w:type="spellStart"/>
              <w:r w:rsidR="0087088D" w:rsidRPr="002716CB">
                <w:rPr>
                  <w:rStyle w:val="Hypertextovprepojenie"/>
                  <w:rFonts w:ascii="Tw Cen MT" w:hAnsi="Tw Cen MT" w:cs="Times New Roman"/>
                  <w:lang w:val="en-US"/>
                </w:rPr>
                <w:t>PaedDr</w:t>
              </w:r>
              <w:proofErr w:type="spellEnd"/>
              <w:r w:rsidR="0087088D" w:rsidRPr="002716CB">
                <w:rPr>
                  <w:rStyle w:val="Hypertextovprepojenie"/>
                  <w:rFonts w:ascii="Tw Cen MT" w:hAnsi="Tw Cen MT" w:cs="Times New Roman"/>
                  <w:lang w:val="en-US"/>
                </w:rPr>
                <w:t xml:space="preserve">. </w:t>
              </w:r>
              <w:proofErr w:type="spellStart"/>
              <w:r w:rsidR="0087088D" w:rsidRPr="002716CB">
                <w:rPr>
                  <w:rStyle w:val="Hypertextovprepojenie"/>
                  <w:rFonts w:ascii="Tw Cen MT" w:hAnsi="Tw Cen MT" w:cs="Times New Roman"/>
                  <w:lang w:val="en-US"/>
                </w:rPr>
                <w:t>Jozef</w:t>
              </w:r>
              <w:proofErr w:type="spellEnd"/>
              <w:r w:rsidR="0087088D" w:rsidRPr="002716CB">
                <w:rPr>
                  <w:rStyle w:val="Hypertextovprepojenie"/>
                  <w:rFonts w:ascii="Tw Cen MT" w:hAnsi="Tw Cen MT" w:cs="Times New Roman"/>
                  <w:lang w:val="en-US"/>
                </w:rPr>
                <w:t xml:space="preserve"> </w:t>
              </w:r>
              <w:proofErr w:type="spellStart"/>
              <w:r w:rsidR="0087088D" w:rsidRPr="002716CB">
                <w:rPr>
                  <w:rStyle w:val="Hypertextovprepojenie"/>
                  <w:rFonts w:ascii="Tw Cen MT" w:hAnsi="Tw Cen MT" w:cs="Times New Roman"/>
                  <w:lang w:val="en-US"/>
                </w:rPr>
                <w:t>Liba</w:t>
              </w:r>
              <w:proofErr w:type="spellEnd"/>
              <w:r w:rsidR="0087088D" w:rsidRPr="002716CB">
                <w:rPr>
                  <w:rStyle w:val="Hypertextovprepojenie"/>
                  <w:rFonts w:ascii="Tw Cen MT" w:hAnsi="Tw Cen MT" w:cs="Times New Roman"/>
                  <w:lang w:val="en-US"/>
                </w:rPr>
                <w:t>, PhD.</w:t>
              </w:r>
            </w:hyperlink>
            <w:r w:rsidR="00E12E84" w:rsidRPr="002716CB">
              <w:rPr>
                <w:rFonts w:ascii="Tw Cen MT" w:hAnsi="Tw Cen MT" w:cs="Times New Roman"/>
                <w:lang w:val="en-US"/>
              </w:rPr>
              <w:t xml:space="preserve"> – </w:t>
            </w:r>
            <w:r w:rsidR="005C4619" w:rsidRPr="002716CB">
              <w:rPr>
                <w:rFonts w:ascii="Tw Cen MT" w:hAnsi="Tw Cen MT"/>
                <w:lang w:val="en-US"/>
              </w:rPr>
              <w:t>works in the field of HIK preschool and elementary education, field of study: teaching and educational sciences</w:t>
            </w:r>
          </w:p>
          <w:p w14:paraId="20C700EF" w14:textId="5E036F5C" w:rsidR="0087088D" w:rsidRPr="002716CB" w:rsidRDefault="00000000" w:rsidP="00E12E84">
            <w:pPr>
              <w:pBdr>
                <w:top w:val="none" w:sz="0" w:space="0" w:color="auto"/>
                <w:left w:val="none" w:sz="0" w:space="0" w:color="auto"/>
                <w:bottom w:val="none" w:sz="0" w:space="0" w:color="auto"/>
                <w:right w:val="none" w:sz="0" w:space="0" w:color="auto"/>
              </w:pBdr>
              <w:spacing w:after="0" w:line="276" w:lineRule="auto"/>
              <w:ind w:left="37" w:right="73" w:firstLine="0"/>
              <w:jc w:val="left"/>
              <w:rPr>
                <w:rFonts w:ascii="Tw Cen MT" w:hAnsi="Tw Cen MT" w:cs="Times New Roman"/>
                <w:lang w:val="en-US"/>
              </w:rPr>
            </w:pPr>
            <w:hyperlink r:id="rId11" w:history="1">
              <w:r w:rsidR="0087088D" w:rsidRPr="002716CB">
                <w:rPr>
                  <w:rStyle w:val="Hypertextovprepojenie"/>
                  <w:rFonts w:ascii="Tw Cen MT" w:hAnsi="Tw Cen MT" w:cs="Times New Roman"/>
                  <w:lang w:val="en-US"/>
                </w:rPr>
                <w:t xml:space="preserve">prof. </w:t>
              </w:r>
              <w:proofErr w:type="spellStart"/>
              <w:r w:rsidR="0087088D" w:rsidRPr="002716CB">
                <w:rPr>
                  <w:rStyle w:val="Hypertextovprepojenie"/>
                  <w:rFonts w:ascii="Tw Cen MT" w:hAnsi="Tw Cen MT" w:cs="Times New Roman"/>
                  <w:lang w:val="en-US"/>
                </w:rPr>
                <w:t>PaedDr</w:t>
              </w:r>
              <w:proofErr w:type="spellEnd"/>
              <w:r w:rsidR="0087088D" w:rsidRPr="002716CB">
                <w:rPr>
                  <w:rStyle w:val="Hypertextovprepojenie"/>
                  <w:rFonts w:ascii="Tw Cen MT" w:hAnsi="Tw Cen MT" w:cs="Times New Roman"/>
                  <w:lang w:val="en-US"/>
                </w:rPr>
                <w:t xml:space="preserve">. </w:t>
              </w:r>
              <w:proofErr w:type="spellStart"/>
              <w:r w:rsidR="0087088D" w:rsidRPr="002716CB">
                <w:rPr>
                  <w:rStyle w:val="Hypertextovprepojenie"/>
                  <w:rFonts w:ascii="Tw Cen MT" w:hAnsi="Tw Cen MT" w:cs="Times New Roman"/>
                  <w:lang w:val="en-US"/>
                </w:rPr>
                <w:t>Ľudmila</w:t>
              </w:r>
              <w:proofErr w:type="spellEnd"/>
              <w:r w:rsidR="0087088D" w:rsidRPr="002716CB">
                <w:rPr>
                  <w:rStyle w:val="Hypertextovprepojenie"/>
                  <w:rFonts w:ascii="Tw Cen MT" w:hAnsi="Tw Cen MT" w:cs="Times New Roman"/>
                  <w:lang w:val="en-US"/>
                </w:rPr>
                <w:t xml:space="preserve"> </w:t>
              </w:r>
              <w:proofErr w:type="spellStart"/>
              <w:r w:rsidR="0087088D" w:rsidRPr="002716CB">
                <w:rPr>
                  <w:rStyle w:val="Hypertextovprepojenie"/>
                  <w:rFonts w:ascii="Tw Cen MT" w:hAnsi="Tw Cen MT" w:cs="Times New Roman"/>
                  <w:lang w:val="en-US"/>
                </w:rPr>
                <w:t>Liptáková</w:t>
              </w:r>
              <w:proofErr w:type="spellEnd"/>
              <w:r w:rsidR="0087088D" w:rsidRPr="002716CB">
                <w:rPr>
                  <w:rStyle w:val="Hypertextovprepojenie"/>
                  <w:rFonts w:ascii="Tw Cen MT" w:hAnsi="Tw Cen MT" w:cs="Times New Roman"/>
                  <w:lang w:val="en-US"/>
                </w:rPr>
                <w:t xml:space="preserve">, </w:t>
              </w:r>
              <w:proofErr w:type="spellStart"/>
              <w:r w:rsidR="0087088D" w:rsidRPr="002716CB">
                <w:rPr>
                  <w:rStyle w:val="Hypertextovprepojenie"/>
                  <w:rFonts w:ascii="Tw Cen MT" w:hAnsi="Tw Cen MT" w:cs="Times New Roman"/>
                  <w:lang w:val="en-US"/>
                </w:rPr>
                <w:t>CSc</w:t>
              </w:r>
              <w:proofErr w:type="spellEnd"/>
              <w:r w:rsidR="0087088D" w:rsidRPr="002716CB">
                <w:rPr>
                  <w:rStyle w:val="Hypertextovprepojenie"/>
                  <w:rFonts w:ascii="Tw Cen MT" w:hAnsi="Tw Cen MT" w:cs="Times New Roman"/>
                  <w:lang w:val="en-US"/>
                </w:rPr>
                <w:t>.</w:t>
              </w:r>
            </w:hyperlink>
            <w:r w:rsidR="00E12E84" w:rsidRPr="002716CB">
              <w:rPr>
                <w:rFonts w:ascii="Tw Cen MT" w:hAnsi="Tw Cen MT" w:cs="Times New Roman"/>
                <w:lang w:val="en-US"/>
              </w:rPr>
              <w:t xml:space="preserve"> – </w:t>
            </w:r>
            <w:r w:rsidR="005C4619" w:rsidRPr="002716CB">
              <w:rPr>
                <w:rFonts w:ascii="Tw Cen MT" w:hAnsi="Tw Cen MT"/>
                <w:lang w:val="en-US"/>
              </w:rPr>
              <w:t>works in the field of HIK preschool and elementary education, field of study: teaching and educational sciences</w:t>
            </w:r>
          </w:p>
        </w:tc>
      </w:tr>
    </w:tbl>
    <w:p w14:paraId="43AD75AC" w14:textId="77777777" w:rsidR="0087088D" w:rsidRPr="002716CB" w:rsidRDefault="0087088D" w:rsidP="00E12E84">
      <w:pPr>
        <w:pBdr>
          <w:top w:val="none" w:sz="0" w:space="0" w:color="auto"/>
          <w:left w:val="none" w:sz="0" w:space="0" w:color="auto"/>
          <w:bottom w:val="none" w:sz="0" w:space="0" w:color="auto"/>
          <w:right w:val="none" w:sz="0" w:space="0" w:color="auto"/>
        </w:pBdr>
        <w:spacing w:after="0" w:line="276" w:lineRule="auto"/>
        <w:ind w:left="0" w:right="73" w:firstLine="0"/>
        <w:rPr>
          <w:rFonts w:ascii="Tw Cen MT" w:hAnsi="Tw Cen MT" w:cs="Times New Roman"/>
          <w:lang w:val="en-US"/>
        </w:rPr>
      </w:pPr>
    </w:p>
    <w:sectPr w:rsidR="0087088D" w:rsidRPr="002716CB" w:rsidSect="00C5517E">
      <w:headerReference w:type="even" r:id="rId12"/>
      <w:headerReference w:type="default" r:id="rId13"/>
      <w:footerReference w:type="even" r:id="rId14"/>
      <w:footerReference w:type="default" r:id="rId15"/>
      <w:headerReference w:type="first" r:id="rId16"/>
      <w:footerReference w:type="first" r:id="rId17"/>
      <w:pgSz w:w="11904" w:h="16840"/>
      <w:pgMar w:top="1422" w:right="1556" w:bottom="1520" w:left="1134" w:header="57" w:footer="852"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658F74" w14:textId="77777777" w:rsidR="00E52832" w:rsidRDefault="00E52832">
      <w:pPr>
        <w:spacing w:after="0" w:line="240" w:lineRule="auto"/>
      </w:pPr>
      <w:r>
        <w:separator/>
      </w:r>
    </w:p>
  </w:endnote>
  <w:endnote w:type="continuationSeparator" w:id="0">
    <w:p w14:paraId="3ED1E4C9" w14:textId="77777777" w:rsidR="00E52832" w:rsidRDefault="00E528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Symbol">
    <w:panose1 w:val="020B0502040204020203"/>
    <w:charset w:val="00"/>
    <w:family w:val="swiss"/>
    <w:pitch w:val="variable"/>
    <w:sig w:usb0="800001E3" w:usb1="1200FFEF" w:usb2="00040000" w:usb3="00000000" w:csb0="00000001"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NimbuSanDEE">
    <w:altName w:val="Calibri"/>
    <w:charset w:val="00"/>
    <w:family w:val="auto"/>
    <w:pitch w:val="variable"/>
    <w:sig w:usb0="00000007" w:usb1="00000000" w:usb2="00000000" w:usb3="00000000" w:csb0="00000003" w:csb1="00000000"/>
  </w:font>
  <w:font w:name="Tw Cen MT">
    <w:panose1 w:val="020B0602020104020603"/>
    <w:charset w:val="EE"/>
    <w:family w:val="swiss"/>
    <w:pitch w:val="variable"/>
    <w:sig w:usb0="00000007" w:usb1="00000000" w:usb2="00000000" w:usb3="00000000" w:csb0="00000003" w:csb1="00000000"/>
  </w:font>
  <w:font w:name="NimbusSansDEE-Bold">
    <w:panose1 w:val="00000000000000000000"/>
    <w:charset w:val="EE"/>
    <w:family w:val="auto"/>
    <w:notTrueType/>
    <w:pitch w:val="default"/>
    <w:sig w:usb0="00000005" w:usb1="00000000" w:usb2="00000000" w:usb3="00000000" w:csb0="00000002" w:csb1="00000000"/>
  </w:font>
  <w:font w:name="NimbusSansDEE-Regular">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71E46" w14:textId="77777777" w:rsidR="00B8128B" w:rsidRDefault="006A6976">
    <w:pPr>
      <w:pBdr>
        <w:top w:val="none" w:sz="0" w:space="0" w:color="auto"/>
        <w:left w:val="none" w:sz="0" w:space="0" w:color="auto"/>
        <w:bottom w:val="none" w:sz="0" w:space="0" w:color="auto"/>
        <w:right w:val="none" w:sz="0" w:space="0" w:color="auto"/>
      </w:pBdr>
      <w:spacing w:after="0" w:line="259" w:lineRule="auto"/>
      <w:ind w:left="0" w:right="-214" w:firstLine="0"/>
      <w:jc w:val="right"/>
    </w:pPr>
    <w:r>
      <w:fldChar w:fldCharType="begin"/>
    </w:r>
    <w:r>
      <w:instrText xml:space="preserve"> PAGE   \* MERGEFORMAT </w:instrText>
    </w:r>
    <w:r>
      <w:fldChar w:fldCharType="separate"/>
    </w:r>
    <w:r>
      <w:rPr>
        <w:sz w:val="22"/>
      </w:rPr>
      <w:t>1</w:t>
    </w:r>
    <w:r>
      <w:rPr>
        <w:sz w:val="22"/>
      </w:rPr>
      <w:fldChar w:fldCharType="end"/>
    </w:r>
    <w:r>
      <w:rPr>
        <w:sz w:val="22"/>
      </w:rPr>
      <w:t xml:space="preserve"> </w:t>
    </w:r>
  </w:p>
  <w:p w14:paraId="36C148A9" w14:textId="77777777" w:rsidR="00B8128B" w:rsidRDefault="006A6976">
    <w:pPr>
      <w:pBdr>
        <w:top w:val="none" w:sz="0" w:space="0" w:color="auto"/>
        <w:left w:val="none" w:sz="0" w:space="0" w:color="auto"/>
        <w:bottom w:val="none" w:sz="0" w:space="0" w:color="auto"/>
        <w:right w:val="none" w:sz="0" w:space="0" w:color="auto"/>
      </w:pBdr>
      <w:spacing w:after="0" w:line="259" w:lineRule="auto"/>
      <w:ind w:left="5" w:firstLine="0"/>
      <w:jc w:val="left"/>
    </w:pPr>
    <w:r>
      <w:rPr>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3786F" w14:textId="7E66B9EC" w:rsidR="00B8128B" w:rsidRDefault="00B8128B">
    <w:pPr>
      <w:pBdr>
        <w:top w:val="none" w:sz="0" w:space="0" w:color="auto"/>
        <w:left w:val="none" w:sz="0" w:space="0" w:color="auto"/>
        <w:bottom w:val="none" w:sz="0" w:space="0" w:color="auto"/>
        <w:right w:val="none" w:sz="0" w:space="0" w:color="auto"/>
      </w:pBdr>
      <w:spacing w:after="0" w:line="259" w:lineRule="auto"/>
      <w:ind w:left="0" w:right="-214" w:firstLine="0"/>
      <w:jc w:val="right"/>
    </w:pPr>
  </w:p>
  <w:p w14:paraId="10FFF4C6" w14:textId="77777777" w:rsidR="00B8128B" w:rsidRDefault="006A6976">
    <w:pPr>
      <w:pBdr>
        <w:top w:val="none" w:sz="0" w:space="0" w:color="auto"/>
        <w:left w:val="none" w:sz="0" w:space="0" w:color="auto"/>
        <w:bottom w:val="none" w:sz="0" w:space="0" w:color="auto"/>
        <w:right w:val="none" w:sz="0" w:space="0" w:color="auto"/>
      </w:pBdr>
      <w:spacing w:after="0" w:line="259" w:lineRule="auto"/>
      <w:ind w:left="5" w:firstLine="0"/>
      <w:jc w:val="left"/>
    </w:pPr>
    <w:r>
      <w:rPr>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29FA1" w14:textId="77777777" w:rsidR="00B8128B" w:rsidRDefault="006A6976">
    <w:pPr>
      <w:pBdr>
        <w:top w:val="none" w:sz="0" w:space="0" w:color="auto"/>
        <w:left w:val="none" w:sz="0" w:space="0" w:color="auto"/>
        <w:bottom w:val="none" w:sz="0" w:space="0" w:color="auto"/>
        <w:right w:val="none" w:sz="0" w:space="0" w:color="auto"/>
      </w:pBdr>
      <w:spacing w:after="0" w:line="259" w:lineRule="auto"/>
      <w:ind w:left="0" w:right="-214" w:firstLine="0"/>
      <w:jc w:val="right"/>
    </w:pPr>
    <w:r>
      <w:fldChar w:fldCharType="begin"/>
    </w:r>
    <w:r>
      <w:instrText xml:space="preserve"> PAGE   \* MERGEFORMAT </w:instrText>
    </w:r>
    <w:r>
      <w:fldChar w:fldCharType="separate"/>
    </w:r>
    <w:r>
      <w:rPr>
        <w:sz w:val="22"/>
      </w:rPr>
      <w:t>1</w:t>
    </w:r>
    <w:r>
      <w:rPr>
        <w:sz w:val="22"/>
      </w:rPr>
      <w:fldChar w:fldCharType="end"/>
    </w:r>
    <w:r>
      <w:rPr>
        <w:sz w:val="22"/>
      </w:rPr>
      <w:t xml:space="preserve"> </w:t>
    </w:r>
  </w:p>
  <w:p w14:paraId="3982C412" w14:textId="77777777" w:rsidR="00B8128B" w:rsidRDefault="006A6976">
    <w:pPr>
      <w:pBdr>
        <w:top w:val="none" w:sz="0" w:space="0" w:color="auto"/>
        <w:left w:val="none" w:sz="0" w:space="0" w:color="auto"/>
        <w:bottom w:val="none" w:sz="0" w:space="0" w:color="auto"/>
        <w:right w:val="none" w:sz="0" w:space="0" w:color="auto"/>
      </w:pBdr>
      <w:spacing w:after="0" w:line="259" w:lineRule="auto"/>
      <w:ind w:left="5" w:firstLine="0"/>
      <w:jc w:val="left"/>
    </w:pPr>
    <w:r>
      <w:rPr>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65DDC6" w14:textId="77777777" w:rsidR="00E52832" w:rsidRDefault="00E52832">
      <w:pPr>
        <w:spacing w:after="0" w:line="240" w:lineRule="auto"/>
      </w:pPr>
      <w:r>
        <w:separator/>
      </w:r>
    </w:p>
  </w:footnote>
  <w:footnote w:type="continuationSeparator" w:id="0">
    <w:p w14:paraId="14B7D62A" w14:textId="77777777" w:rsidR="00E52832" w:rsidRDefault="00E528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A2CFB" w14:textId="77777777" w:rsidR="00B8128B" w:rsidRDefault="006A6976">
    <w:pPr>
      <w:pBdr>
        <w:top w:val="none" w:sz="0" w:space="0" w:color="auto"/>
        <w:left w:val="none" w:sz="0" w:space="0" w:color="auto"/>
        <w:bottom w:val="none" w:sz="0" w:space="0" w:color="auto"/>
        <w:right w:val="none" w:sz="0" w:space="0" w:color="auto"/>
      </w:pBdr>
      <w:spacing w:after="160" w:line="259" w:lineRule="auto"/>
      <w:ind w:left="273" w:firstLine="0"/>
      <w:jc w:val="center"/>
    </w:pPr>
    <w:r>
      <w:rPr>
        <w:noProof/>
      </w:rPr>
      <w:drawing>
        <wp:anchor distT="0" distB="0" distL="114300" distR="114300" simplePos="0" relativeHeight="251658240" behindDoc="0" locked="0" layoutInCell="1" allowOverlap="0" wp14:anchorId="3EB4C07D" wp14:editId="3749637D">
          <wp:simplePos x="0" y="0"/>
          <wp:positionH relativeFrom="page">
            <wp:posOffset>899922</wp:posOffset>
          </wp:positionH>
          <wp:positionV relativeFrom="page">
            <wp:posOffset>228600</wp:posOffset>
          </wp:positionV>
          <wp:extent cx="533400" cy="533400"/>
          <wp:effectExtent l="0" t="0" r="0" b="0"/>
          <wp:wrapSquare wrapText="bothSides"/>
          <wp:docPr id="19" name="Picture 23"/>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1"/>
                  <a:stretch>
                    <a:fillRect/>
                  </a:stretch>
                </pic:blipFill>
                <pic:spPr>
                  <a:xfrm>
                    <a:off x="0" y="0"/>
                    <a:ext cx="533400" cy="533400"/>
                  </a:xfrm>
                  <a:prstGeom prst="rect">
                    <a:avLst/>
                  </a:prstGeom>
                </pic:spPr>
              </pic:pic>
            </a:graphicData>
          </a:graphic>
        </wp:anchor>
      </w:drawing>
    </w:r>
    <w:r>
      <w:rPr>
        <w:noProof/>
      </w:rPr>
      <w:drawing>
        <wp:anchor distT="0" distB="0" distL="114300" distR="114300" simplePos="0" relativeHeight="251659264" behindDoc="0" locked="0" layoutInCell="1" allowOverlap="0" wp14:anchorId="157A715A" wp14:editId="155B535A">
          <wp:simplePos x="0" y="0"/>
          <wp:positionH relativeFrom="page">
            <wp:posOffset>6089142</wp:posOffset>
          </wp:positionH>
          <wp:positionV relativeFrom="page">
            <wp:posOffset>195834</wp:posOffset>
          </wp:positionV>
          <wp:extent cx="561594" cy="561594"/>
          <wp:effectExtent l="0" t="0" r="0" b="0"/>
          <wp:wrapSquare wrapText="bothSides"/>
          <wp:docPr id="20" name="Picture 25"/>
          <wp:cNvGraphicFramePr/>
          <a:graphic xmlns:a="http://schemas.openxmlformats.org/drawingml/2006/main">
            <a:graphicData uri="http://schemas.openxmlformats.org/drawingml/2006/picture">
              <pic:pic xmlns:pic="http://schemas.openxmlformats.org/drawingml/2006/picture">
                <pic:nvPicPr>
                  <pic:cNvPr id="25" name="Picture 25"/>
                  <pic:cNvPicPr/>
                </pic:nvPicPr>
                <pic:blipFill>
                  <a:blip r:embed="rId2"/>
                  <a:stretch>
                    <a:fillRect/>
                  </a:stretch>
                </pic:blipFill>
                <pic:spPr>
                  <a:xfrm>
                    <a:off x="0" y="0"/>
                    <a:ext cx="561594" cy="561594"/>
                  </a:xfrm>
                  <a:prstGeom prst="rect">
                    <a:avLst/>
                  </a:prstGeom>
                </pic:spPr>
              </pic:pic>
            </a:graphicData>
          </a:graphic>
        </wp:anchor>
      </w:drawing>
    </w:r>
    <w:r>
      <w:rPr>
        <w:b/>
      </w:rPr>
      <w:t xml:space="preserve"> </w:t>
    </w:r>
  </w:p>
  <w:p w14:paraId="4D1C5C3E" w14:textId="77777777" w:rsidR="00B8128B" w:rsidRDefault="006A6976">
    <w:pPr>
      <w:pBdr>
        <w:top w:val="none" w:sz="0" w:space="0" w:color="auto"/>
        <w:left w:val="none" w:sz="0" w:space="0" w:color="auto"/>
        <w:bottom w:val="none" w:sz="0" w:space="0" w:color="auto"/>
        <w:right w:val="none" w:sz="0" w:space="0" w:color="auto"/>
      </w:pBdr>
      <w:spacing w:after="123" w:line="259" w:lineRule="auto"/>
      <w:ind w:left="5" w:firstLine="0"/>
      <w:jc w:val="center"/>
    </w:pPr>
    <w:r>
      <w:rPr>
        <w:b/>
      </w:rPr>
      <w:t xml:space="preserve">TRNAVSKÁ UNIVERZITA V TRNAVE </w:t>
    </w:r>
  </w:p>
  <w:p w14:paraId="540BA62A" w14:textId="77777777" w:rsidR="00B8128B" w:rsidRDefault="006A6976">
    <w:pPr>
      <w:pBdr>
        <w:top w:val="none" w:sz="0" w:space="0" w:color="auto"/>
        <w:left w:val="none" w:sz="0" w:space="0" w:color="auto"/>
        <w:bottom w:val="none" w:sz="0" w:space="0" w:color="auto"/>
        <w:right w:val="none" w:sz="0" w:space="0" w:color="auto"/>
      </w:pBdr>
      <w:spacing w:after="0" w:line="259" w:lineRule="auto"/>
      <w:ind w:left="5" w:firstLine="0"/>
      <w:jc w:val="center"/>
    </w:pPr>
    <w:r>
      <w:rPr>
        <w:b/>
      </w:rPr>
      <w:t xml:space="preserve">Právnická fakulta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7E27C" w14:textId="77777777" w:rsidR="00C5517E" w:rsidRDefault="00C5517E" w:rsidP="00C5517E">
    <w:pPr>
      <w:pStyle w:val="Zkladntext"/>
      <w:spacing w:before="6"/>
      <w:rPr>
        <w:rFonts w:ascii="Tw Cen MT" w:eastAsiaTheme="minorHAnsi" w:hAnsi="Tw Cen MT" w:cs="NimbusSansDEE-Bold"/>
        <w:b/>
        <w:bCs/>
        <w:sz w:val="22"/>
        <w:szCs w:val="22"/>
      </w:rPr>
    </w:pPr>
  </w:p>
  <w:p w14:paraId="7B149544" w14:textId="20EE011F" w:rsidR="00C5517E" w:rsidRDefault="00C5517E" w:rsidP="00C5517E">
    <w:pPr>
      <w:pStyle w:val="Zkladntext"/>
      <w:spacing w:before="6"/>
      <w:rPr>
        <w:rFonts w:ascii="Tw Cen MT" w:eastAsiaTheme="minorHAnsi" w:hAnsi="Tw Cen MT" w:cs="NimbusSansDEE-Bold"/>
        <w:b/>
        <w:bCs/>
        <w:sz w:val="22"/>
        <w:szCs w:val="22"/>
      </w:rPr>
    </w:pPr>
  </w:p>
  <w:p w14:paraId="642AFFEC" w14:textId="65ADC76B" w:rsidR="00C5517E" w:rsidRDefault="00567183" w:rsidP="00C5517E">
    <w:pPr>
      <w:pStyle w:val="Zkladntext"/>
      <w:spacing w:before="6"/>
      <w:rPr>
        <w:rFonts w:ascii="Tw Cen MT" w:eastAsiaTheme="minorHAnsi" w:hAnsi="Tw Cen MT" w:cs="NimbusSansDEE-Bold"/>
        <w:b/>
        <w:bCs/>
        <w:sz w:val="22"/>
        <w:szCs w:val="22"/>
      </w:rPr>
    </w:pPr>
    <w:r>
      <w:rPr>
        <w:rFonts w:ascii="Tw Cen MT" w:eastAsiaTheme="minorHAnsi" w:hAnsi="Tw Cen MT" w:cs="NimbusSansDEE-Bold"/>
        <w:b/>
        <w:bCs/>
        <w:noProof/>
        <w:sz w:val="22"/>
        <w:szCs w:val="22"/>
        <w:lang w:val="en-GB" w:eastAsia="en-GB"/>
      </w:rPr>
      <w:drawing>
        <wp:anchor distT="0" distB="0" distL="114300" distR="114300" simplePos="0" relativeHeight="251665408" behindDoc="1" locked="0" layoutInCell="1" allowOverlap="1" wp14:anchorId="61D36C48" wp14:editId="7ADD1D75">
          <wp:simplePos x="0" y="0"/>
          <wp:positionH relativeFrom="column">
            <wp:posOffset>5313045</wp:posOffset>
          </wp:positionH>
          <wp:positionV relativeFrom="paragraph">
            <wp:posOffset>15240</wp:posOffset>
          </wp:positionV>
          <wp:extent cx="807720" cy="810895"/>
          <wp:effectExtent l="19050" t="0" r="0" b="0"/>
          <wp:wrapNone/>
          <wp:docPr id="1" name="Obrázok 1"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a:stretch>
                    <a:fillRect/>
                  </a:stretch>
                </pic:blipFill>
                <pic:spPr>
                  <a:xfrm>
                    <a:off x="0" y="0"/>
                    <a:ext cx="807720" cy="810895"/>
                  </a:xfrm>
                  <a:prstGeom prst="rect">
                    <a:avLst/>
                  </a:prstGeom>
                </pic:spPr>
              </pic:pic>
            </a:graphicData>
          </a:graphic>
        </wp:anchor>
      </w:drawing>
    </w:r>
  </w:p>
  <w:p w14:paraId="15966B79" w14:textId="7E1B6E92" w:rsidR="00C5517E" w:rsidRPr="006938C4" w:rsidRDefault="00C5517E" w:rsidP="00C5517E">
    <w:pPr>
      <w:pStyle w:val="Zkladntext"/>
      <w:spacing w:before="6"/>
      <w:rPr>
        <w:rFonts w:ascii="Tw Cen MT" w:eastAsiaTheme="minorHAnsi" w:hAnsi="Tw Cen MT" w:cs="NimbusSansDEE-Bold"/>
        <w:b/>
        <w:bCs/>
        <w:sz w:val="22"/>
        <w:szCs w:val="22"/>
      </w:rPr>
    </w:pPr>
    <w:r w:rsidRPr="006938C4">
      <w:rPr>
        <w:rFonts w:ascii="Tw Cen MT" w:eastAsiaTheme="minorHAnsi" w:hAnsi="Tw Cen MT" w:cs="NimbusSansDEE-Bold"/>
        <w:b/>
        <w:bCs/>
        <w:sz w:val="22"/>
        <w:szCs w:val="22"/>
      </w:rPr>
      <w:t>Pre</w:t>
    </w:r>
    <w:r w:rsidRPr="006938C4">
      <w:rPr>
        <w:rFonts w:ascii="Tw Cen MT" w:eastAsiaTheme="minorHAnsi" w:hAnsi="Tw Cen MT" w:cs="Arial"/>
        <w:b/>
        <w:bCs/>
        <w:sz w:val="22"/>
        <w:szCs w:val="22"/>
      </w:rPr>
      <w:t>š</w:t>
    </w:r>
    <w:r w:rsidRPr="006938C4">
      <w:rPr>
        <w:rFonts w:ascii="Tw Cen MT" w:eastAsiaTheme="minorHAnsi" w:hAnsi="Tw Cen MT" w:cs="NimbusSansDEE-Bold"/>
        <w:b/>
        <w:bCs/>
        <w:sz w:val="22"/>
        <w:szCs w:val="22"/>
      </w:rPr>
      <w:t>ovská univerzita v Pre</w:t>
    </w:r>
    <w:r w:rsidRPr="006938C4">
      <w:rPr>
        <w:rFonts w:ascii="Tw Cen MT" w:eastAsiaTheme="minorHAnsi" w:hAnsi="Tw Cen MT" w:cs="Arial"/>
        <w:b/>
        <w:bCs/>
        <w:sz w:val="22"/>
        <w:szCs w:val="22"/>
      </w:rPr>
      <w:t>š</w:t>
    </w:r>
    <w:r w:rsidRPr="006938C4">
      <w:rPr>
        <w:rFonts w:ascii="Tw Cen MT" w:eastAsiaTheme="minorHAnsi" w:hAnsi="Tw Cen MT" w:cs="NimbusSansDEE-Bold"/>
        <w:b/>
        <w:bCs/>
        <w:sz w:val="22"/>
        <w:szCs w:val="22"/>
      </w:rPr>
      <w:t>ove</w:t>
    </w:r>
  </w:p>
  <w:p w14:paraId="46A5CDC2" w14:textId="77777777" w:rsidR="00C5517E" w:rsidRDefault="00C5517E" w:rsidP="00C5517E">
    <w:pPr>
      <w:pStyle w:val="Zkladntext"/>
      <w:spacing w:before="6"/>
      <w:ind w:right="-592"/>
      <w:rPr>
        <w:rFonts w:ascii="Tw Cen MT" w:eastAsiaTheme="minorHAnsi" w:hAnsi="Tw Cen MT" w:cs="NimbusSansDEE-Regular"/>
        <w:sz w:val="22"/>
        <w:szCs w:val="22"/>
      </w:rPr>
    </w:pPr>
    <w:r w:rsidRPr="006938C4">
      <w:rPr>
        <w:rFonts w:ascii="Tw Cen MT" w:eastAsiaTheme="minorHAnsi" w:hAnsi="Tw Cen MT" w:cs="NimbusSansDEE-Regular"/>
        <w:sz w:val="22"/>
        <w:szCs w:val="22"/>
      </w:rPr>
      <w:t>Pedagogická fakulta</w:t>
    </w:r>
  </w:p>
  <w:p w14:paraId="46B5A862" w14:textId="77777777" w:rsidR="00FB0E3B" w:rsidRDefault="00FB0E3B">
    <w:pPr>
      <w:pBdr>
        <w:top w:val="none" w:sz="0" w:space="0" w:color="auto"/>
        <w:left w:val="none" w:sz="0" w:space="0" w:color="auto"/>
        <w:bottom w:val="none" w:sz="0" w:space="0" w:color="auto"/>
        <w:right w:val="none" w:sz="0" w:space="0" w:color="auto"/>
      </w:pBdr>
      <w:spacing w:after="160" w:line="259" w:lineRule="auto"/>
      <w:ind w:left="273" w:firstLine="0"/>
      <w:jc w:val="center"/>
      <w:rPr>
        <w:b/>
      </w:rPr>
    </w:pPr>
  </w:p>
  <w:p w14:paraId="3CEAED14" w14:textId="45F79901" w:rsidR="00B8128B" w:rsidRDefault="006A6976">
    <w:pPr>
      <w:pBdr>
        <w:top w:val="none" w:sz="0" w:space="0" w:color="auto"/>
        <w:left w:val="none" w:sz="0" w:space="0" w:color="auto"/>
        <w:bottom w:val="none" w:sz="0" w:space="0" w:color="auto"/>
        <w:right w:val="none" w:sz="0" w:space="0" w:color="auto"/>
      </w:pBdr>
      <w:spacing w:after="160" w:line="259" w:lineRule="auto"/>
      <w:ind w:left="273" w:firstLine="0"/>
      <w:jc w:val="center"/>
    </w:pPr>
    <w:r>
      <w:rPr>
        <w:b/>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E13AA" w14:textId="77777777" w:rsidR="00B8128B" w:rsidRDefault="006A6976">
    <w:pPr>
      <w:pBdr>
        <w:top w:val="none" w:sz="0" w:space="0" w:color="auto"/>
        <w:left w:val="none" w:sz="0" w:space="0" w:color="auto"/>
        <w:bottom w:val="none" w:sz="0" w:space="0" w:color="auto"/>
        <w:right w:val="none" w:sz="0" w:space="0" w:color="auto"/>
      </w:pBdr>
      <w:spacing w:after="160" w:line="259" w:lineRule="auto"/>
      <w:ind w:left="273" w:firstLine="0"/>
      <w:jc w:val="center"/>
    </w:pPr>
    <w:r>
      <w:rPr>
        <w:noProof/>
      </w:rPr>
      <w:drawing>
        <wp:anchor distT="0" distB="0" distL="114300" distR="114300" simplePos="0" relativeHeight="251662336" behindDoc="0" locked="0" layoutInCell="1" allowOverlap="0" wp14:anchorId="082E8CCF" wp14:editId="7CDCA95A">
          <wp:simplePos x="0" y="0"/>
          <wp:positionH relativeFrom="page">
            <wp:posOffset>899922</wp:posOffset>
          </wp:positionH>
          <wp:positionV relativeFrom="page">
            <wp:posOffset>228600</wp:posOffset>
          </wp:positionV>
          <wp:extent cx="533400" cy="533400"/>
          <wp:effectExtent l="0" t="0" r="0" b="0"/>
          <wp:wrapSquare wrapText="bothSides"/>
          <wp:docPr id="21" name="Picture 23"/>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1"/>
                  <a:stretch>
                    <a:fillRect/>
                  </a:stretch>
                </pic:blipFill>
                <pic:spPr>
                  <a:xfrm>
                    <a:off x="0" y="0"/>
                    <a:ext cx="533400" cy="533400"/>
                  </a:xfrm>
                  <a:prstGeom prst="rect">
                    <a:avLst/>
                  </a:prstGeom>
                </pic:spPr>
              </pic:pic>
            </a:graphicData>
          </a:graphic>
        </wp:anchor>
      </w:drawing>
    </w:r>
    <w:r>
      <w:rPr>
        <w:noProof/>
      </w:rPr>
      <w:drawing>
        <wp:anchor distT="0" distB="0" distL="114300" distR="114300" simplePos="0" relativeHeight="251663360" behindDoc="0" locked="0" layoutInCell="1" allowOverlap="0" wp14:anchorId="3859DED4" wp14:editId="6AC62BAD">
          <wp:simplePos x="0" y="0"/>
          <wp:positionH relativeFrom="page">
            <wp:posOffset>6089142</wp:posOffset>
          </wp:positionH>
          <wp:positionV relativeFrom="page">
            <wp:posOffset>195834</wp:posOffset>
          </wp:positionV>
          <wp:extent cx="561594" cy="561594"/>
          <wp:effectExtent l="0" t="0" r="0" b="0"/>
          <wp:wrapSquare wrapText="bothSides"/>
          <wp:docPr id="22" name="Picture 25"/>
          <wp:cNvGraphicFramePr/>
          <a:graphic xmlns:a="http://schemas.openxmlformats.org/drawingml/2006/main">
            <a:graphicData uri="http://schemas.openxmlformats.org/drawingml/2006/picture">
              <pic:pic xmlns:pic="http://schemas.openxmlformats.org/drawingml/2006/picture">
                <pic:nvPicPr>
                  <pic:cNvPr id="25" name="Picture 25"/>
                  <pic:cNvPicPr/>
                </pic:nvPicPr>
                <pic:blipFill>
                  <a:blip r:embed="rId2"/>
                  <a:stretch>
                    <a:fillRect/>
                  </a:stretch>
                </pic:blipFill>
                <pic:spPr>
                  <a:xfrm>
                    <a:off x="0" y="0"/>
                    <a:ext cx="561594" cy="561594"/>
                  </a:xfrm>
                  <a:prstGeom prst="rect">
                    <a:avLst/>
                  </a:prstGeom>
                </pic:spPr>
              </pic:pic>
            </a:graphicData>
          </a:graphic>
        </wp:anchor>
      </w:drawing>
    </w:r>
    <w:r>
      <w:rPr>
        <w:b/>
      </w:rPr>
      <w:t xml:space="preserve"> </w:t>
    </w:r>
  </w:p>
  <w:p w14:paraId="6BA52B75" w14:textId="77777777" w:rsidR="00B8128B" w:rsidRDefault="006A6976">
    <w:pPr>
      <w:pBdr>
        <w:top w:val="none" w:sz="0" w:space="0" w:color="auto"/>
        <w:left w:val="none" w:sz="0" w:space="0" w:color="auto"/>
        <w:bottom w:val="none" w:sz="0" w:space="0" w:color="auto"/>
        <w:right w:val="none" w:sz="0" w:space="0" w:color="auto"/>
      </w:pBdr>
      <w:spacing w:after="123" w:line="259" w:lineRule="auto"/>
      <w:ind w:left="5" w:firstLine="0"/>
      <w:jc w:val="center"/>
    </w:pPr>
    <w:r>
      <w:rPr>
        <w:b/>
      </w:rPr>
      <w:t xml:space="preserve">TRNAVSKÁ UNIVERZITA V TRNAVE </w:t>
    </w:r>
  </w:p>
  <w:p w14:paraId="3A812B61" w14:textId="77777777" w:rsidR="00B8128B" w:rsidRDefault="006A6976">
    <w:pPr>
      <w:pBdr>
        <w:top w:val="none" w:sz="0" w:space="0" w:color="auto"/>
        <w:left w:val="none" w:sz="0" w:space="0" w:color="auto"/>
        <w:bottom w:val="none" w:sz="0" w:space="0" w:color="auto"/>
        <w:right w:val="none" w:sz="0" w:space="0" w:color="auto"/>
      </w:pBdr>
      <w:spacing w:after="0" w:line="259" w:lineRule="auto"/>
      <w:ind w:left="5" w:firstLine="0"/>
      <w:jc w:val="center"/>
    </w:pPr>
    <w:r>
      <w:rPr>
        <w:b/>
      </w:rPr>
      <w:t xml:space="preserve">Právnická fakulta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CB1881"/>
    <w:multiLevelType w:val="hybridMultilevel"/>
    <w:tmpl w:val="67A2099A"/>
    <w:lvl w:ilvl="0" w:tplc="987E9F8A">
      <w:start w:val="1"/>
      <w:numFmt w:val="bullet"/>
      <w:lvlText w:val=""/>
      <w:lvlJc w:val="left"/>
      <w:pPr>
        <w:ind w:left="7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04A0E0A6">
      <w:start w:val="1"/>
      <w:numFmt w:val="bullet"/>
      <w:lvlText w:val="o"/>
      <w:lvlJc w:val="left"/>
      <w:pPr>
        <w:ind w:left="15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FA885B8">
      <w:start w:val="1"/>
      <w:numFmt w:val="bullet"/>
      <w:lvlText w:val="▪"/>
      <w:lvlJc w:val="left"/>
      <w:pPr>
        <w:ind w:left="22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D96AAD0">
      <w:start w:val="1"/>
      <w:numFmt w:val="bullet"/>
      <w:lvlText w:val="•"/>
      <w:lvlJc w:val="left"/>
      <w:pPr>
        <w:ind w:left="29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71060CA">
      <w:start w:val="1"/>
      <w:numFmt w:val="bullet"/>
      <w:lvlText w:val="o"/>
      <w:lvlJc w:val="left"/>
      <w:pPr>
        <w:ind w:left="37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C82A574">
      <w:start w:val="1"/>
      <w:numFmt w:val="bullet"/>
      <w:lvlText w:val="▪"/>
      <w:lvlJc w:val="left"/>
      <w:pPr>
        <w:ind w:left="44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52CE566">
      <w:start w:val="1"/>
      <w:numFmt w:val="bullet"/>
      <w:lvlText w:val="•"/>
      <w:lvlJc w:val="left"/>
      <w:pPr>
        <w:ind w:left="51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1CCE196">
      <w:start w:val="1"/>
      <w:numFmt w:val="bullet"/>
      <w:lvlText w:val="o"/>
      <w:lvlJc w:val="left"/>
      <w:pPr>
        <w:ind w:left="58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8C0F172">
      <w:start w:val="1"/>
      <w:numFmt w:val="bullet"/>
      <w:lvlText w:val="▪"/>
      <w:lvlJc w:val="left"/>
      <w:pPr>
        <w:ind w:left="65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14465809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28B"/>
    <w:rsid w:val="000A7A8C"/>
    <w:rsid w:val="000B5BE2"/>
    <w:rsid w:val="000D0379"/>
    <w:rsid w:val="000D2FF8"/>
    <w:rsid w:val="000F4EAF"/>
    <w:rsid w:val="00131445"/>
    <w:rsid w:val="00175869"/>
    <w:rsid w:val="00183E42"/>
    <w:rsid w:val="001F1C43"/>
    <w:rsid w:val="00205967"/>
    <w:rsid w:val="00230EAA"/>
    <w:rsid w:val="002406BB"/>
    <w:rsid w:val="002716CB"/>
    <w:rsid w:val="0027603E"/>
    <w:rsid w:val="00282ABE"/>
    <w:rsid w:val="003532CE"/>
    <w:rsid w:val="00363DDD"/>
    <w:rsid w:val="003B3C14"/>
    <w:rsid w:val="003D6221"/>
    <w:rsid w:val="003F3578"/>
    <w:rsid w:val="004B61A2"/>
    <w:rsid w:val="004B751C"/>
    <w:rsid w:val="00537CBF"/>
    <w:rsid w:val="00567183"/>
    <w:rsid w:val="00596CEA"/>
    <w:rsid w:val="005C4619"/>
    <w:rsid w:val="006A6976"/>
    <w:rsid w:val="007546D1"/>
    <w:rsid w:val="00786DB6"/>
    <w:rsid w:val="007E0E38"/>
    <w:rsid w:val="008010E0"/>
    <w:rsid w:val="00805AC2"/>
    <w:rsid w:val="008470EB"/>
    <w:rsid w:val="008504E7"/>
    <w:rsid w:val="0087088D"/>
    <w:rsid w:val="009116B1"/>
    <w:rsid w:val="00957761"/>
    <w:rsid w:val="00A12BDE"/>
    <w:rsid w:val="00A64AD3"/>
    <w:rsid w:val="00A91043"/>
    <w:rsid w:val="00AC5D19"/>
    <w:rsid w:val="00B8128B"/>
    <w:rsid w:val="00BD2C02"/>
    <w:rsid w:val="00C31284"/>
    <w:rsid w:val="00C5517E"/>
    <w:rsid w:val="00C80B1F"/>
    <w:rsid w:val="00CA54A3"/>
    <w:rsid w:val="00DD1C39"/>
    <w:rsid w:val="00E12E84"/>
    <w:rsid w:val="00E52832"/>
    <w:rsid w:val="00E812F5"/>
    <w:rsid w:val="00E85D7F"/>
    <w:rsid w:val="00EC7AAB"/>
    <w:rsid w:val="00EE0B0D"/>
    <w:rsid w:val="00EF0C83"/>
    <w:rsid w:val="00F22E1D"/>
    <w:rsid w:val="00F54892"/>
    <w:rsid w:val="00F55115"/>
    <w:rsid w:val="00F72F71"/>
    <w:rsid w:val="00FB0E3B"/>
    <w:rsid w:val="1541E2B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5050B5"/>
  <w15:docId w15:val="{88A098C3-D0F1-E845-82FE-50DB570A0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pPr>
      <w:pBdr>
        <w:top w:val="single" w:sz="4" w:space="0" w:color="000000"/>
        <w:left w:val="single" w:sz="4" w:space="0" w:color="000000"/>
        <w:bottom w:val="single" w:sz="4" w:space="0" w:color="000000"/>
        <w:right w:val="single" w:sz="4" w:space="0" w:color="000000"/>
      </w:pBdr>
      <w:spacing w:after="5" w:line="250" w:lineRule="auto"/>
      <w:ind w:left="10" w:hanging="10"/>
      <w:jc w:val="both"/>
    </w:pPr>
    <w:rPr>
      <w:rFonts w:ascii="Calibri" w:eastAsia="Calibri" w:hAnsi="Calibri" w:cs="Calibri"/>
      <w:color w:val="00000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Mriekatabuky1">
    <w:name w:val="Mriežka tabuľky1"/>
    <w:tblPr>
      <w:tblCellMar>
        <w:top w:w="0" w:type="dxa"/>
        <w:left w:w="0" w:type="dxa"/>
        <w:bottom w:w="0" w:type="dxa"/>
        <w:right w:w="0" w:type="dxa"/>
      </w:tblCellMar>
    </w:tblPr>
  </w:style>
  <w:style w:type="character" w:customStyle="1" w:styleId="spellingerror">
    <w:name w:val="spellingerror"/>
    <w:basedOn w:val="Predvolenpsmoodseku"/>
    <w:rsid w:val="00363DDD"/>
  </w:style>
  <w:style w:type="character" w:customStyle="1" w:styleId="normaltextrun">
    <w:name w:val="normaltextrun"/>
    <w:basedOn w:val="Predvolenpsmoodseku"/>
    <w:rsid w:val="00363DDD"/>
  </w:style>
  <w:style w:type="character" w:customStyle="1" w:styleId="eop">
    <w:name w:val="eop"/>
    <w:basedOn w:val="Predvolenpsmoodseku"/>
    <w:rsid w:val="00363DDD"/>
  </w:style>
  <w:style w:type="paragraph" w:styleId="Normlnywebov">
    <w:name w:val="Normal (Web)"/>
    <w:basedOn w:val="Normlny"/>
    <w:uiPriority w:val="99"/>
    <w:semiHidden/>
    <w:unhideWhenUsed/>
    <w:rsid w:val="000D2FF8"/>
    <w:pPr>
      <w:pBdr>
        <w:top w:val="none" w:sz="0" w:space="0" w:color="auto"/>
        <w:left w:val="none" w:sz="0" w:space="0" w:color="auto"/>
        <w:bottom w:val="none" w:sz="0" w:space="0" w:color="auto"/>
        <w:right w:val="none" w:sz="0" w:space="0" w:color="auto"/>
      </w:pBdr>
      <w:spacing w:before="100" w:beforeAutospacing="1" w:after="100" w:afterAutospacing="1" w:line="240" w:lineRule="auto"/>
      <w:ind w:left="0" w:firstLine="0"/>
      <w:jc w:val="left"/>
    </w:pPr>
    <w:rPr>
      <w:rFonts w:ascii="Times New Roman" w:eastAsia="Times New Roman" w:hAnsi="Times New Roman" w:cs="Times New Roman"/>
      <w:color w:val="auto"/>
    </w:rPr>
  </w:style>
  <w:style w:type="character" w:styleId="Vrazn">
    <w:name w:val="Strong"/>
    <w:basedOn w:val="Predvolenpsmoodseku"/>
    <w:uiPriority w:val="22"/>
    <w:qFormat/>
    <w:rsid w:val="000D2FF8"/>
    <w:rPr>
      <w:b/>
      <w:bCs/>
    </w:rPr>
  </w:style>
  <w:style w:type="character" w:styleId="Zvraznenie">
    <w:name w:val="Emphasis"/>
    <w:basedOn w:val="Predvolenpsmoodseku"/>
    <w:uiPriority w:val="20"/>
    <w:qFormat/>
    <w:rsid w:val="000D2FF8"/>
    <w:rPr>
      <w:i/>
      <w:iCs/>
    </w:rPr>
  </w:style>
  <w:style w:type="character" w:styleId="Hypertextovprepojenie">
    <w:name w:val="Hyperlink"/>
    <w:basedOn w:val="Predvolenpsmoodseku"/>
    <w:uiPriority w:val="99"/>
    <w:unhideWhenUsed/>
    <w:rsid w:val="000D0379"/>
    <w:rPr>
      <w:color w:val="0563C1" w:themeColor="hyperlink"/>
      <w:u w:val="single"/>
    </w:rPr>
  </w:style>
  <w:style w:type="character" w:styleId="Nevyrieenzmienka">
    <w:name w:val="Unresolved Mention"/>
    <w:basedOn w:val="Predvolenpsmoodseku"/>
    <w:uiPriority w:val="99"/>
    <w:semiHidden/>
    <w:unhideWhenUsed/>
    <w:rsid w:val="000D0379"/>
    <w:rPr>
      <w:color w:val="605E5C"/>
      <w:shd w:val="clear" w:color="auto" w:fill="E1DFDD"/>
    </w:rPr>
  </w:style>
  <w:style w:type="paragraph" w:styleId="Zkladntext">
    <w:name w:val="Body Text"/>
    <w:basedOn w:val="Normlny"/>
    <w:link w:val="ZkladntextChar"/>
    <w:uiPriority w:val="1"/>
    <w:qFormat/>
    <w:rsid w:val="00C5517E"/>
    <w:pPr>
      <w:widowControl w:val="0"/>
      <w:pBdr>
        <w:top w:val="none" w:sz="0" w:space="0" w:color="auto"/>
        <w:left w:val="none" w:sz="0" w:space="0" w:color="auto"/>
        <w:bottom w:val="none" w:sz="0" w:space="0" w:color="auto"/>
        <w:right w:val="none" w:sz="0" w:space="0" w:color="auto"/>
      </w:pBdr>
      <w:autoSpaceDE w:val="0"/>
      <w:autoSpaceDN w:val="0"/>
      <w:spacing w:after="0" w:line="240" w:lineRule="auto"/>
      <w:ind w:left="0" w:firstLine="0"/>
      <w:jc w:val="left"/>
    </w:pPr>
    <w:rPr>
      <w:rFonts w:ascii="NimbuSanDEE" w:eastAsia="NimbuSanDEE" w:hAnsi="NimbuSanDEE" w:cs="NimbuSanDEE"/>
      <w:color w:val="auto"/>
      <w:sz w:val="16"/>
      <w:szCs w:val="16"/>
      <w:lang w:eastAsia="en-US"/>
    </w:rPr>
  </w:style>
  <w:style w:type="character" w:customStyle="1" w:styleId="ZkladntextChar">
    <w:name w:val="Základný text Char"/>
    <w:basedOn w:val="Predvolenpsmoodseku"/>
    <w:link w:val="Zkladntext"/>
    <w:uiPriority w:val="1"/>
    <w:rsid w:val="00C5517E"/>
    <w:rPr>
      <w:rFonts w:ascii="NimbuSanDEE" w:eastAsia="NimbuSanDEE" w:hAnsi="NimbuSanDEE" w:cs="NimbuSanDEE"/>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28574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unipo.sk/public/media/4215/VUPCH_PF_Burgerova_1.pdf"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unipo.sk/public/media/4214/VUPCH_PF_Kovalcikova.pdf"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nipo.sk/public/media/4211/VUPCH_PF_Liptakova.pdf"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unipo.sk/public/media/4215/VUPCH_PF_Liba.pdf"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unipo.sk/public/media/4213/VUPCH_PF_Klein.pdf"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2</Pages>
  <Words>729</Words>
  <Characters>4158</Characters>
  <Application>Microsoft Office Word</Application>
  <DocSecurity>0</DocSecurity>
  <Lines>34</Lines>
  <Paragraphs>9</Paragraphs>
  <ScaleCrop>false</ScaleCrop>
  <Company/>
  <LinksUpToDate>false</LinksUpToDate>
  <CharactersWithSpaces>4878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PF TU_opis_ HIK_pracovné právo_DB.docx</dc:title>
  <dc:subject/>
  <dc:creator>admin</dc:creator>
  <cp:keywords/>
  <cp:lastModifiedBy>Klimovič Martin</cp:lastModifiedBy>
  <cp:revision>47</cp:revision>
  <dcterms:created xsi:type="dcterms:W3CDTF">2022-09-13T07:01:00Z</dcterms:created>
  <dcterms:modified xsi:type="dcterms:W3CDTF">2022-09-13T09:22:00Z</dcterms:modified>
</cp:coreProperties>
</file>