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71B6CAC2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0C215D">
            <w:rPr>
              <w:rStyle w:val="tl3"/>
            </w:rPr>
            <w:t>prekladateľský kombinačný program</w:t>
          </w:r>
        </w:sdtContent>
      </w:sdt>
    </w:p>
    <w:p w14:paraId="77E5B47A" w14:textId="41745F10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0C215D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>francúzsky jazyk a kultúra (v kombinácii)</w:t>
      </w:r>
    </w:p>
    <w:p w14:paraId="74B759AF" w14:textId="5F6F1629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0C215D">
            <w:rPr>
              <w:rStyle w:val="tl3"/>
            </w:rPr>
            <w:t>filológia</w:t>
          </w:r>
        </w:sdtContent>
      </w:sdt>
    </w:p>
    <w:p w14:paraId="50FAE1E9" w14:textId="2280B8B3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0C215D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3DA16887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0C215D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02B69269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0C215D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15CC3FA4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577410"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1IRO/REUTK/22</w:t>
      </w:r>
      <w:r w:rsid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577410"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Recepcia umeleckých textov – profilový predmet</w:t>
      </w:r>
    </w:p>
    <w:p w14:paraId="31657979" w14:textId="54CDB28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577410"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0880DA7F" w14:textId="77777777" w:rsidR="00577410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CF1F06D" w14:textId="2E6F8CFF" w:rsidR="00BD531C" w:rsidRDefault="00577410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Absolvovaním predmetu získa študent vedomosti o predpokladoch a formách literárnej recepcie. Študent si osvojí teoretické vedomosti o komunikačnom potenciáli prekladu. Získava prehľad o recepcii po francúzsky písanej literatúry v domácom recepčnom prostredí.</w:t>
      </w:r>
    </w:p>
    <w:p w14:paraId="1CA87213" w14:textId="77777777" w:rsidR="00577410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8A13FEF" w14:textId="775F435E" w:rsidR="00BD531C" w:rsidRDefault="00577410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v praxi overí interdisciplinárny prístup k  literárnemu textu z pozície čitateľa. Dokáže analyzovať text, zaradiť ho v príslušnom dobovom historicko-literárnom kontexte. Študent je schopný identifikovať prekladateľské postupy a vyhodnotiť ich adekvátnosť. Dokáže s textom tvorivo pracovať a navrhnúť vlastný preklad textu s náležitou argumentáciou.</w:t>
      </w:r>
    </w:p>
    <w:p w14:paraId="1BE5AE3A" w14:textId="77777777" w:rsidR="00577410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D1E63BE" w14:textId="31AFC8D1" w:rsidR="00BD531C" w:rsidRPr="00BD531C" w:rsidRDefault="00577410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vie formulovať vlastné hodnotenie umeleckého textu za pomoci analytických a komparatívnych postupov. Dokáže k textu pristupovať kriticky a hodnotiť ho v kontexte recepčného prijímajúceho prostredia. Nácvikom transferu umeleckých textov sa zdokonaľuje v prekladateľských činnostiach, so zameraním predovšetkým na  analyticko-interpretačnú </w:t>
      </w:r>
      <w:bookmarkStart w:id="0" w:name="_Hlk97756567"/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kompeten</w:t>
      </w:r>
      <w:r w:rsid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tnosť</w:t>
      </w:r>
      <w:bookmarkEnd w:id="0"/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, textotvornú </w:t>
      </w:r>
      <w:r w:rsidR="00F31C31" w:rsidRP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kompetentnosť</w:t>
      </w: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, sociálnu a rešeršnú </w:t>
      </w:r>
      <w:r w:rsidR="00F31C31" w:rsidRP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kompetentnosť</w:t>
      </w:r>
      <w:r w:rsidR="00F31C31" w:rsidRP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a kultúrnu resp. interkultúrnu </w:t>
      </w:r>
      <w:r w:rsidR="00F31C31" w:rsidRP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kompetentnosť</w:t>
      </w:r>
      <w:r w:rsidRPr="0057741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01E53CCB" w14:textId="777777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259DB86" w14:textId="4FAE8F44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1IRO/SUFJK/22</w:t>
      </w:r>
      <w:r w:rsid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Súčasný francúzsky jazyk – profilový predmet</w:t>
      </w:r>
      <w:r w:rsid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C478679" w14:textId="77425EA8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 semester</w:t>
      </w:r>
      <w:r w:rsid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457CB95D" w14:textId="77777777" w:rsidR="008C4CF4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EFEC080" w14:textId="2B3C5B06" w:rsidR="00BD531C" w:rsidRDefault="008C4CF4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lastRenderedPageBreak/>
        <w:t>Študent pozná všeobecné morfologické, syntaktické a lexikálne pravidlá a fungovanie francúzskeho jazyka, aj výnimky a zvláštnosti určitých javov použitých v kontexte v súvislosti s danou komunikačnou situáciou.</w:t>
      </w:r>
    </w:p>
    <w:p w14:paraId="2FD7A7DE" w14:textId="32614760" w:rsidR="008C4CF4" w:rsidRPr="008C4CF4" w:rsidRDefault="00BD531C" w:rsidP="008C4CF4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 w:rsid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7F4FC54A" w14:textId="58FBEB8A" w:rsidR="008C4CF4" w:rsidRPr="008C4CF4" w:rsidRDefault="008C4CF4" w:rsidP="008C4CF4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popísať a vysvetliť použité jazykové prostriedky v závislosti od situácie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32509953" w14:textId="5387F9C7" w:rsidR="008C4CF4" w:rsidRPr="008C4CF4" w:rsidRDefault="008C4CF4" w:rsidP="008C4CF4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analyzovať a identifikovať prvky použité v texte, ktoré môžu mať v rôznych typoch textov odlišné významy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916DF4A" w14:textId="10DF8DF0" w:rsidR="008C4CF4" w:rsidRPr="008C4CF4" w:rsidRDefault="008C4CF4" w:rsidP="008C4CF4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zvoliť vhodné štylistické prostriedky primerané kontextu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D81076D" w14:textId="3389389A" w:rsidR="008C4CF4" w:rsidRPr="008C4CF4" w:rsidRDefault="008C4CF4" w:rsidP="008C4CF4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hovorové zvraty a štýl v literárnych aj publicistických žánroch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E2BC198" w14:textId="324D3F31" w:rsidR="00BD531C" w:rsidRDefault="008C4CF4" w:rsidP="008C4CF4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využívať získané vedomosti v praktických komunikačných situáciách v písanej aj ústnej forme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7FAECEEA" w14:textId="37407C2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získal vysoký stupeň jazykovej a analyticko-interpretačnej kompetentnosti, ktoré aplikuje interdisciplinárne a s dôrazom na </w:t>
      </w:r>
      <w:r w:rsidR="00BD74D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prekladateľské a tlmočnícke </w:t>
      </w:r>
      <w:r w:rsidR="008869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činnosti</w:t>
      </w:r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. Spoľahlivo ovláda cudzí jazyk a dokáže primerane prispôsobiť register a štýl konkrétnym okolnostiam. Jazyk vníma ako navzájom prepojený systém, ktorého fungovanie dokáže vysvetliť, a to aj </w:t>
      </w:r>
      <w:proofErr w:type="spellStart"/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kontrastívne</w:t>
      </w:r>
      <w:proofErr w:type="spellEnd"/>
      <w:r w:rsidR="008C4CF4" w:rsidRPr="008C4CF4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na pozadí slovenského, príp. iného jazyka. Nové poznatky dokáže samostatne integrovať do existujúceho súboru vedomostí. Naučené postupy dokáže aplikovať v nových, neznámych situáciách. Študent dokáže poznatky zrozumiteľne odovzdávať druhým, vďaka rozvinutej sociálnej kompetentnosti. Výklad dokáže prispôsobiť rozmanitému publiku. Získava samostatnosť v chápaní jazyka, čo znamená, že dokáže svoje vedomosti aktualizovať samostatne a získava predpoklady k celoživotnému sebazdokonaľovaniu.   </w:t>
      </w:r>
    </w:p>
    <w:p w14:paraId="7044DA05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EB21" w14:textId="09636B52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324EA1" w:rsidRPr="00324EA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1IRO/SUFLK/22</w:t>
      </w:r>
      <w:r w:rsidR="00324EA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324EA1" w:rsidRPr="00324EA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Súčasná francúzska a frankofónna literatúra – profilový predmet</w:t>
      </w:r>
    </w:p>
    <w:p w14:paraId="19850777" w14:textId="3E43428A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324EA1" w:rsidRPr="00324EA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 semester</w:t>
      </w:r>
      <w:r w:rsidR="00324EA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794B1A50" w14:textId="77777777" w:rsidR="00DE23E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F7C15BB" w14:textId="2F6CBAE8" w:rsidR="00BD531C" w:rsidRDefault="00DE23E1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pozná súvislosti  z  dejín, kultúry, dejín umenia ako aj literatúry vo francúzsky hovoriacich krajinách (s dôrazom na Francúzsko a Québec). Rozlišuje  </w:t>
      </w:r>
      <w:proofErr w:type="spellStart"/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medzikultúrne</w:t>
      </w:r>
      <w:proofErr w:type="spellEnd"/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súvislosti. Rozumie súčasným vývinovým tendenciám francúzskeho a québeckého umenia a literatúry. Rozumie spoločenským a historickým problémoch súčasnej spoločnosti, ktoré vníma v širších súvislostiach.</w:t>
      </w:r>
    </w:p>
    <w:p w14:paraId="0DE5FEC6" w14:textId="513D6C91" w:rsidR="00DE23E1" w:rsidRPr="00DE23E1" w:rsidRDefault="00BD531C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DE23E1"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 w:rsid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4B6BA302" w14:textId="47E4AA85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vysvetliť a opísať vývinové tendencie francúzskej, québeckej a inej frankofónnej kultúry a literatúry po súčasnosť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7B595C97" w14:textId="6D6955B1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vysvetliť dejinné súvislosti frankofónnej jazykovej oblasti v celosvetovom kontexte so zreteľom na interkultúrny dialóg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2E41F708" w14:textId="01D10699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podobnosti, analógie medzi rôznymi udalosťami, dielami 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 </w:t>
      </w: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pod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.,</w:t>
      </w:r>
    </w:p>
    <w:p w14:paraId="33AEB038" w14:textId="080DFDFE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lastRenderedPageBreak/>
        <w:t>- abstrahovať a syntetizovať poznatky, vyvodzovať závery za využitia modelov a postupov, ktoré získal na literárne a kultúrne zameraných disciplínach počas celého štúdia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FAB24AB" w14:textId="49204178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tvoriť hodnotiace úsudky o špecifikách umeleckého zobrazovania tém ako napr. exkluzívna/inkluzívna identita, exil, imigrácia, </w:t>
      </w:r>
      <w:proofErr w:type="spellStart"/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polyglosia</w:t>
      </w:r>
      <w:proofErr w:type="spellEnd"/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a jej dôsledky  a i.</w:t>
      </w:r>
      <w:r w:rsid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73AA832B" w14:textId="2C320BA4" w:rsidR="00DE23E1" w:rsidRPr="00DE23E1" w:rsidRDefault="00DE23E1" w:rsidP="00DE23E1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prezentovať a obhájiť vlastné zisteni</w:t>
      </w:r>
      <w:r w:rsidR="00F31C3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a.</w:t>
      </w:r>
    </w:p>
    <w:p w14:paraId="765A74EE" w14:textId="6F76FAA9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E0E3068" w14:textId="77777777" w:rsidR="00F31C3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744D20A" w14:textId="16F55D6F" w:rsidR="00BD531C" w:rsidRPr="00BD531C" w:rsidRDefault="00DE23E1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DE23E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dosahuje vysokú mieru jazykovej kompetentnosti, porovnateľnú s rodeným hovoriacim, pričom si ju neustále zlepšuje a tiež si neustále rozširuje kultúrnu a interkultúrnu kompetentnosť. Študent dosahuje kompetentnosť kriticky myslieť. Študent dosahuje vysokú mieru sociálnej kompetentnosti: empaticky pristupuje k interkultúrnym špecifikám, dokáže sa odosobniť a prijať nazeranie na svet skrz optiku druhého. Dosahuje vysokú mieru kompetentnosti na celoživotné sebazdokonaľovanie.</w:t>
      </w:r>
    </w:p>
    <w:p w14:paraId="763A7B9B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4EF6E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1E822E32" w14:textId="3C32A7EA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033308D6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7E6B6F5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4905BE35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D50808D" w14:textId="77777777" w:rsidR="005562C0" w:rsidRDefault="005562C0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A5D9059" w14:textId="0D99B8BA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52779BE5" w14:textId="427A3060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51A479CE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2DE1B6F8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4735077C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86CED26" w14:textId="77777777" w:rsidR="00EF571F" w:rsidRPr="00BD531C" w:rsidRDefault="00EF571F" w:rsidP="0078238A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65D2A11F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5C7C05B1" w14:textId="66BC817E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1CF33291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38E7A14B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29239210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4A74528" w14:textId="77777777" w:rsidR="00EF571F" w:rsidRDefault="00EF571F" w:rsidP="0078238A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3014E51A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2CA5DA8E" w14:textId="12AF12BC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71BE57B1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2E3726E6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14DC1A4D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AE9C028" w14:textId="77777777" w:rsidR="00BD531C" w:rsidRDefault="00BD531C" w:rsidP="0078238A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547DA39C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72FA72C8" w14:textId="33C14556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0D125E11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14AF6BF3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28CCFE7A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5B4B66CF" w14:textId="77777777" w:rsidR="00BD531C" w:rsidRDefault="00BD531C" w:rsidP="0078238A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76B400E4" w14:textId="7777777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uveďte kód a názov </w:t>
      </w:r>
    </w:p>
    <w:p w14:paraId="72932808" w14:textId="58DD68F6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 poradie konkrétneho semestra, napr. 1, 2, 3 ...</w:t>
      </w:r>
    </w:p>
    <w:p w14:paraId="1273A8D4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7A209279" w14:textId="7777777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781E9C23" w14:textId="39095242" w:rsidR="00EF571F" w:rsidRPr="008521B9" w:rsidRDefault="00BD531C" w:rsidP="008521B9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sectPr w:rsidR="00EF571F" w:rsidRPr="008521B9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F0D3" w14:textId="77777777" w:rsidR="00BB41CF" w:rsidRDefault="00BB41CF" w:rsidP="00A75E52">
      <w:pPr>
        <w:spacing w:line="240" w:lineRule="auto"/>
      </w:pPr>
      <w:r>
        <w:separator/>
      </w:r>
    </w:p>
  </w:endnote>
  <w:endnote w:type="continuationSeparator" w:id="0">
    <w:p w14:paraId="30F94844" w14:textId="77777777" w:rsidR="00BB41CF" w:rsidRDefault="00BB41CF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16682AA6" w:rsidR="0062406E" w:rsidRPr="001D1F85" w:rsidRDefault="00BB41CF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801B" w14:textId="77777777" w:rsidR="00BB41CF" w:rsidRDefault="00BB41CF" w:rsidP="00A75E52">
      <w:pPr>
        <w:spacing w:line="240" w:lineRule="auto"/>
      </w:pPr>
      <w:r>
        <w:separator/>
      </w:r>
    </w:p>
  </w:footnote>
  <w:footnote w:type="continuationSeparator" w:id="0">
    <w:p w14:paraId="1C831EA3" w14:textId="77777777" w:rsidR="00BB41CF" w:rsidRDefault="00BB41CF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215D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E755E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24EA1"/>
    <w:rsid w:val="00353FD0"/>
    <w:rsid w:val="003604BC"/>
    <w:rsid w:val="00363645"/>
    <w:rsid w:val="00367139"/>
    <w:rsid w:val="00393BA8"/>
    <w:rsid w:val="00395AD5"/>
    <w:rsid w:val="003C5733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77410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7634"/>
    <w:rsid w:val="007B68E0"/>
    <w:rsid w:val="007D2425"/>
    <w:rsid w:val="007E5615"/>
    <w:rsid w:val="007F3417"/>
    <w:rsid w:val="008144D7"/>
    <w:rsid w:val="00824362"/>
    <w:rsid w:val="00842FD9"/>
    <w:rsid w:val="00847A66"/>
    <w:rsid w:val="008521B9"/>
    <w:rsid w:val="008668FA"/>
    <w:rsid w:val="0088694B"/>
    <w:rsid w:val="008964F4"/>
    <w:rsid w:val="008C4CF4"/>
    <w:rsid w:val="008D36AC"/>
    <w:rsid w:val="008E2023"/>
    <w:rsid w:val="008E7DBA"/>
    <w:rsid w:val="008F0232"/>
    <w:rsid w:val="00900650"/>
    <w:rsid w:val="009113B6"/>
    <w:rsid w:val="0092310B"/>
    <w:rsid w:val="00940822"/>
    <w:rsid w:val="009B0B68"/>
    <w:rsid w:val="009C3980"/>
    <w:rsid w:val="009C4813"/>
    <w:rsid w:val="009D4553"/>
    <w:rsid w:val="00A0497D"/>
    <w:rsid w:val="00A16B89"/>
    <w:rsid w:val="00A33CEB"/>
    <w:rsid w:val="00A3432E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41CF"/>
    <w:rsid w:val="00BB7CB9"/>
    <w:rsid w:val="00BD531C"/>
    <w:rsid w:val="00BD74D2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D3A26"/>
    <w:rsid w:val="00DD49BF"/>
    <w:rsid w:val="00DD618E"/>
    <w:rsid w:val="00DE02EA"/>
    <w:rsid w:val="00DE23E1"/>
    <w:rsid w:val="00DF698C"/>
    <w:rsid w:val="00E0006A"/>
    <w:rsid w:val="00E010DF"/>
    <w:rsid w:val="00E77012"/>
    <w:rsid w:val="00E95AF3"/>
    <w:rsid w:val="00ED1807"/>
    <w:rsid w:val="00EF22D9"/>
    <w:rsid w:val="00EF571F"/>
    <w:rsid w:val="00F128C5"/>
    <w:rsid w:val="00F20715"/>
    <w:rsid w:val="00F230DE"/>
    <w:rsid w:val="00F31C31"/>
    <w:rsid w:val="00F47FB5"/>
    <w:rsid w:val="00F6484D"/>
    <w:rsid w:val="00F96FB8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5512B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1" ma:contentTypeDescription="Umožňuje vytvoriť nový dokument." ma:contentTypeScope="" ma:versionID="2fa460f10367a5e71cdf4ef6c1c3958e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908cb4eae32e42572758f5f67b8bcd20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b09f77-0c1f-4016-8f62-e7a496605fdf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A93EB-F177-44BA-9F83-21F335C057A0}"/>
</file>

<file path=customXml/itemProps2.xml><?xml version="1.0" encoding="utf-8"?>
<ds:datastoreItem xmlns:ds="http://schemas.openxmlformats.org/officeDocument/2006/customXml" ds:itemID="{20A625B4-D120-432C-9727-526D02ED0595}"/>
</file>

<file path=customXml/itemProps3.xml><?xml version="1.0" encoding="utf-8"?>
<ds:datastoreItem xmlns:ds="http://schemas.openxmlformats.org/officeDocument/2006/customXml" ds:itemID="{652554E6-BB64-4C74-833E-921513104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2022-03-09T21:17:00Z</dcterms:created>
  <dcterms:modified xsi:type="dcterms:W3CDTF">2022-03-09T21:17:00Z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