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University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University of Presov</w:t>
            </w:r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4FDAD3A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r w:rsidR="003F2FC2">
              <w:rPr>
                <w:rFonts w:asciiTheme="minorHAnsi" w:hAnsiTheme="minorHAnsi" w:cstheme="minorHAnsi"/>
                <w:b/>
              </w:rPr>
              <w:t xml:space="preserve">: </w:t>
            </w:r>
            <w:r w:rsidR="003F2FC2" w:rsidRPr="003F2FC2">
              <w:rPr>
                <w:rFonts w:asciiTheme="minorHAnsi" w:hAnsiTheme="minorHAnsi" w:cstheme="minorHAnsi"/>
                <w:bCs/>
                <w:i/>
                <w:iCs/>
              </w:rPr>
              <w:t>Faculty of Arts</w:t>
            </w:r>
          </w:p>
        </w:tc>
      </w:tr>
      <w:tr w:rsidR="008A34EB" w:rsidRPr="00584E0B" w14:paraId="6939F823" w14:textId="77777777" w:rsidTr="003F2FC2">
        <w:trPr>
          <w:trHeight w:val="646"/>
        </w:trPr>
        <w:tc>
          <w:tcPr>
            <w:tcW w:w="4110" w:type="dxa"/>
            <w:vAlign w:val="center"/>
          </w:tcPr>
          <w:p w14:paraId="3BAC028D" w14:textId="439BD457" w:rsidR="003F2FC2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Code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1IUKR / UDULI / 22</w:t>
            </w:r>
          </w:p>
          <w:p w14:paraId="1A57432C" w14:textId="2BAD8AA1" w:rsidR="003F2FC2" w:rsidRPr="003F2FC2" w:rsidRDefault="003F2FC2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212" w:type="dxa"/>
            <w:vAlign w:val="center"/>
          </w:tcPr>
          <w:p w14:paraId="20B8B665" w14:textId="2641FF4F" w:rsidR="003F2FC2" w:rsidRPr="003F2FC2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Course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r w:rsidR="003F2FC2" w:rsidRPr="003F2FC2">
              <w:rPr>
                <w:rFonts w:asciiTheme="minorHAnsi" w:hAnsiTheme="minorHAnsi" w:cstheme="minorHAnsi"/>
                <w:bCs/>
                <w:i/>
                <w:iCs/>
              </w:rPr>
              <w:t xml:space="preserve">Didactics of </w:t>
            </w:r>
            <w:r w:rsidR="00724837">
              <w:rPr>
                <w:rFonts w:asciiTheme="minorHAnsi" w:hAnsiTheme="minorHAnsi" w:cstheme="minorHAnsi"/>
                <w:bCs/>
                <w:i/>
                <w:iCs/>
              </w:rPr>
              <w:t xml:space="preserve">the </w:t>
            </w:r>
            <w:bookmarkStart w:id="0" w:name="_GoBack"/>
            <w:bookmarkEnd w:id="0"/>
            <w:r w:rsidR="003F2FC2" w:rsidRPr="003F2FC2">
              <w:rPr>
                <w:rFonts w:asciiTheme="minorHAnsi" w:hAnsiTheme="minorHAnsi" w:cstheme="minorHAnsi"/>
                <w:bCs/>
                <w:i/>
                <w:iCs/>
              </w:rPr>
              <w:t>Ukrainian Literature (P) Profile</w:t>
            </w:r>
          </w:p>
        </w:tc>
      </w:tr>
      <w:tr w:rsidR="008A34EB" w:rsidRPr="00584E0B" w14:paraId="1541EDD8" w14:textId="77777777" w:rsidTr="003F2FC2">
        <w:trPr>
          <w:trHeight w:val="912"/>
        </w:trPr>
        <w:tc>
          <w:tcPr>
            <w:tcW w:w="9322" w:type="dxa"/>
            <w:gridSpan w:val="2"/>
            <w:vAlign w:val="center"/>
          </w:tcPr>
          <w:p w14:paraId="737EC91A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F490E20" w14:textId="77777777" w:rsidR="003F2FC2" w:rsidRPr="003F2FC2" w:rsidRDefault="003F2FC2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3F2FC2">
              <w:rPr>
                <w:rFonts w:asciiTheme="minorHAnsi" w:hAnsiTheme="minorHAnsi" w:cstheme="minorHAnsi"/>
                <w:i/>
                <w:iCs/>
              </w:rPr>
              <w:t>2 hours lecture / 1 hour seminar</w:t>
            </w:r>
          </w:p>
          <w:p w14:paraId="6FF14070" w14:textId="2E8D174E" w:rsidR="003F2FC2" w:rsidRPr="003F2FC2" w:rsidRDefault="003F2FC2" w:rsidP="003F2FC2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3F2FC2">
              <w:rPr>
                <w:rFonts w:asciiTheme="minorHAnsi" w:hAnsiTheme="minorHAnsi" w:cstheme="minorHAnsi"/>
                <w:i/>
                <w:iCs/>
              </w:rPr>
              <w:t>Method: combined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262537D" w14:textId="77777777" w:rsidR="003F2FC2" w:rsidRDefault="005A0E9F" w:rsidP="00584E0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  <w:p w14:paraId="1D4E3357" w14:textId="49468B7F" w:rsidR="008A34EB" w:rsidRPr="00584E0B" w:rsidRDefault="003F2FC2" w:rsidP="00584E0B">
            <w:pPr>
              <w:jc w:val="both"/>
              <w:rPr>
                <w:rFonts w:asciiTheme="minorHAnsi" w:hAnsiTheme="minorHAnsi" w:cstheme="minorHAnsi"/>
              </w:rPr>
            </w:pPr>
            <w:r w:rsidRPr="003F2FC2">
              <w:rPr>
                <w:rFonts w:asciiTheme="minorHAnsi" w:hAnsiTheme="minorHAnsi" w:cstheme="minorHAnsi"/>
                <w:bCs/>
                <w:i/>
                <w:iCs/>
              </w:rPr>
              <w:t xml:space="preserve"> 2</w:t>
            </w:r>
          </w:p>
        </w:tc>
      </w:tr>
      <w:tr w:rsidR="008A34EB" w:rsidRPr="00584E0B" w14:paraId="291A390A" w14:textId="77777777" w:rsidTr="003F2FC2">
        <w:trPr>
          <w:trHeight w:val="468"/>
        </w:trPr>
        <w:tc>
          <w:tcPr>
            <w:tcW w:w="9322" w:type="dxa"/>
            <w:gridSpan w:val="2"/>
            <w:vAlign w:val="center"/>
          </w:tcPr>
          <w:p w14:paraId="679B3B80" w14:textId="77777777" w:rsidR="003F2FC2" w:rsidRDefault="005A0E9F" w:rsidP="00584E0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A0E9F">
              <w:rPr>
                <w:b/>
              </w:rPr>
              <w:t>Recommended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  <w:p w14:paraId="114542A4" w14:textId="250A5EAD" w:rsidR="003F2FC2" w:rsidRPr="003F2FC2" w:rsidRDefault="008A34EB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84E0B">
              <w:rPr>
                <w:rFonts w:asciiTheme="minorHAnsi" w:hAnsiTheme="minorHAnsi" w:cstheme="minorHAnsi"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</w:rPr>
              <w:t>2</w:t>
            </w:r>
            <w:r w:rsidR="003F2FC2" w:rsidRPr="003F2FC2">
              <w:rPr>
                <w:rFonts w:asciiTheme="minorHAnsi" w:hAnsiTheme="minorHAnsi" w:cstheme="minorHAnsi"/>
                <w:i/>
                <w:vertAlign w:val="superscript"/>
              </w:rPr>
              <w:t xml:space="preserve">nd </w:t>
            </w:r>
            <w:r w:rsidR="003F2FC2" w:rsidRPr="003F2FC2">
              <w:rPr>
                <w:rFonts w:asciiTheme="minorHAnsi" w:hAnsiTheme="minorHAnsi" w:cstheme="minorHAnsi"/>
                <w:i/>
              </w:rPr>
              <w:t>semester of study</w:t>
            </w:r>
          </w:p>
        </w:tc>
      </w:tr>
      <w:tr w:rsidR="008A34EB" w:rsidRPr="00584E0B" w14:paraId="0C27EB55" w14:textId="77777777" w:rsidTr="003F2FC2">
        <w:trPr>
          <w:trHeight w:val="743"/>
        </w:trPr>
        <w:tc>
          <w:tcPr>
            <w:tcW w:w="9322" w:type="dxa"/>
            <w:gridSpan w:val="2"/>
            <w:vAlign w:val="center"/>
          </w:tcPr>
          <w:p w14:paraId="11065575" w14:textId="77777777" w:rsidR="003F2FC2" w:rsidRDefault="005A0E9F" w:rsidP="003F2FC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Study grade</w:t>
            </w:r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</w:p>
          <w:p w14:paraId="357CB491" w14:textId="79BBDB8B" w:rsidR="003F2FC2" w:rsidRPr="003F2FC2" w:rsidRDefault="003F2FC2" w:rsidP="003F2FC2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 w:rsidRPr="003F2FC2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3F2FC2">
        <w:trPr>
          <w:trHeight w:val="310"/>
        </w:trPr>
        <w:tc>
          <w:tcPr>
            <w:tcW w:w="9322" w:type="dxa"/>
            <w:gridSpan w:val="2"/>
            <w:vAlign w:val="center"/>
          </w:tcPr>
          <w:p w14:paraId="727BC862" w14:textId="2CD60F89" w:rsidR="003F2FC2" w:rsidRPr="003F2FC2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Prerequisites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3F2FC2">
        <w:trPr>
          <w:trHeight w:val="1055"/>
        </w:trPr>
        <w:tc>
          <w:tcPr>
            <w:tcW w:w="9322" w:type="dxa"/>
            <w:gridSpan w:val="2"/>
            <w:vAlign w:val="center"/>
          </w:tcPr>
          <w:p w14:paraId="0D711292" w14:textId="2D592870" w:rsidR="003F2FC2" w:rsidRPr="003F2FC2" w:rsidRDefault="005A0E9F" w:rsidP="003F2FC2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5A0E9F">
              <w:rPr>
                <w:rFonts w:asciiTheme="minorHAnsi" w:hAnsiTheme="minorHAnsi" w:cstheme="minorHAnsi"/>
                <w:b/>
              </w:rPr>
              <w:t>Conditions for passing the course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Active participation in seminars.</w:t>
            </w:r>
            <w:r w:rsidR="003F2FC2"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Elaboration and presentation of sample lessons from the literature according to the selected issue.</w:t>
            </w:r>
            <w:r w:rsidR="003F2FC2"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Final evaluation.</w:t>
            </w:r>
            <w:r w:rsidR="003F2FC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F2FC2">
              <w:rPr>
                <w:rFonts w:asciiTheme="minorHAnsi" w:hAnsiTheme="minorHAnsi" w:cstheme="minorHAnsi"/>
                <w:i/>
                <w:iCs/>
              </w:rPr>
              <w:t>S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tudent prepares a sample lesson of Ukrainian literature in the form of a PPT.</w:t>
            </w:r>
          </w:p>
        </w:tc>
      </w:tr>
      <w:tr w:rsidR="008A34EB" w:rsidRPr="00584E0B" w14:paraId="0741C229" w14:textId="77777777" w:rsidTr="003F2FC2">
        <w:trPr>
          <w:trHeight w:val="694"/>
        </w:trPr>
        <w:tc>
          <w:tcPr>
            <w:tcW w:w="9322" w:type="dxa"/>
            <w:gridSpan w:val="2"/>
            <w:vAlign w:val="center"/>
          </w:tcPr>
          <w:p w14:paraId="6FBDD224" w14:textId="77777777" w:rsidR="003F2FC2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Learning outcomes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238242D7" w14:textId="574AE847" w:rsidR="008A34EB" w:rsidRPr="003F2FC2" w:rsidRDefault="003F2FC2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3F2FC2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 knowledge</w:t>
            </w:r>
          </w:p>
          <w:p w14:paraId="614CD98F" w14:textId="77777777" w:rsidR="003F2FC2" w:rsidRDefault="003F2FC2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The aim of this discipline is to acquire students the theoretical foundations of teaching Ukrainian literature.</w:t>
            </w:r>
          </w:p>
          <w:p w14:paraId="59924205" w14:textId="77777777" w:rsidR="003F2FC2" w:rsidRDefault="003F2FC2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3F2FC2">
              <w:rPr>
                <w:rFonts w:asciiTheme="minorHAnsi" w:hAnsiTheme="minorHAnsi" w:cstheme="minorHAnsi"/>
                <w:b/>
                <w:bCs/>
                <w:iCs/>
              </w:rPr>
              <w:t>Acquired skills</w:t>
            </w:r>
          </w:p>
          <w:p w14:paraId="3B480950" w14:textId="77777777" w:rsidR="003F2FC2" w:rsidRDefault="003F2FC2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Student is able to choose the appropriate method and methodology of teaching in relation to the topic and goals that he wants to achieve in class</w:t>
            </w:r>
            <w:r>
              <w:rPr>
                <w:rFonts w:asciiTheme="minorHAnsi" w:hAnsiTheme="minorHAnsi" w:cstheme="minorHAnsi"/>
                <w:i/>
              </w:rPr>
              <w:t xml:space="preserve">. </w:t>
            </w:r>
            <w:r w:rsidRPr="003F2FC2">
              <w:rPr>
                <w:rFonts w:asciiTheme="minorHAnsi" w:hAnsiTheme="minorHAnsi" w:cstheme="minorHAnsi"/>
                <w:i/>
              </w:rPr>
              <w:t>Can identify the type of lesson, can choose illustrative didactic material.</w:t>
            </w:r>
            <w:r>
              <w:t xml:space="preserve"> </w:t>
            </w:r>
            <w:r w:rsidRPr="003F2FC2">
              <w:rPr>
                <w:rFonts w:asciiTheme="minorHAnsi" w:hAnsiTheme="minorHAnsi" w:cstheme="minorHAnsi"/>
                <w:i/>
              </w:rPr>
              <w:t>He chooses modern technologies, involves them in the educational process and thus makes teaching more attractive.</w:t>
            </w:r>
          </w:p>
          <w:p w14:paraId="5D52824D" w14:textId="77777777" w:rsidR="003F2FC2" w:rsidRDefault="003F2FC2" w:rsidP="00584E0B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r w:rsidRPr="003F2FC2">
              <w:rPr>
                <w:rFonts w:asciiTheme="minorHAnsi" w:hAnsiTheme="minorHAnsi" w:cstheme="minorHAnsi"/>
                <w:b/>
                <w:bCs/>
                <w:iCs/>
              </w:rPr>
              <w:t xml:space="preserve">Acquired 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c</w:t>
            </w:r>
            <w:r w:rsidRPr="003F2FC2">
              <w:rPr>
                <w:rFonts w:asciiTheme="minorHAnsi" w:hAnsiTheme="minorHAnsi" w:cstheme="minorHAnsi"/>
                <w:b/>
                <w:bCs/>
                <w:iCs/>
              </w:rPr>
              <w:t>ompetencie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s</w:t>
            </w:r>
          </w:p>
          <w:p w14:paraId="0E8E6191" w14:textId="4A42AFE1" w:rsidR="003F2FC2" w:rsidRPr="003F2FC2" w:rsidRDefault="003F2FC2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The graduate achieves a degree of professional competence in leading a lesson.</w:t>
            </w:r>
            <w:r>
              <w:t xml:space="preserve"> </w:t>
            </w:r>
            <w:r w:rsidRPr="003F2FC2">
              <w:rPr>
                <w:rFonts w:asciiTheme="minorHAnsi" w:hAnsiTheme="minorHAnsi" w:cstheme="minorHAnsi"/>
                <w:i/>
              </w:rPr>
              <w:t>He knows how to apply the acquired theoretical knowledge and acquired practical skills in practice.</w:t>
            </w:r>
            <w:r>
              <w:t xml:space="preserve"> </w:t>
            </w:r>
            <w:r w:rsidRPr="003F2FC2">
              <w:rPr>
                <w:rFonts w:asciiTheme="minorHAnsi" w:hAnsiTheme="minorHAnsi" w:cstheme="minorHAnsi"/>
                <w:i/>
              </w:rPr>
              <w:t>It uses various forms and media, plans and organizes educational and extracurricular activities of students in the subject of Ukrainian literature.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1CDEB24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 w:rsidRPr="005A0E9F">
              <w:rPr>
                <w:rFonts w:asciiTheme="minorHAnsi" w:hAnsiTheme="minorHAnsi" w:cstheme="minorHAnsi"/>
                <w:b/>
              </w:rPr>
              <w:t>Course content: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7BF846ED" w14:textId="7EC5E9D4" w:rsidR="003F2FC2" w:rsidRP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Content and structure of literature in primary and secondary school;</w:t>
            </w:r>
          </w:p>
          <w:p w14:paraId="12A83FE1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The position of the methodology of teaching literature;</w:t>
            </w:r>
          </w:p>
          <w:p w14:paraId="043AD0F5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Peculiarities of perception by students of art literature;</w:t>
            </w:r>
          </w:p>
          <w:p w14:paraId="206586CD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T</w:t>
            </w:r>
            <w:r w:rsidRPr="003F2FC2">
              <w:rPr>
                <w:rFonts w:asciiTheme="minorHAnsi" w:hAnsiTheme="minorHAnsi" w:cstheme="minorHAnsi"/>
                <w:i/>
              </w:rPr>
              <w:t>eaching methods in literature lessons;</w:t>
            </w:r>
          </w:p>
          <w:p w14:paraId="763AD81A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T</w:t>
            </w:r>
            <w:r w:rsidRPr="003F2FC2">
              <w:rPr>
                <w:rFonts w:asciiTheme="minorHAnsi" w:hAnsiTheme="minorHAnsi" w:cstheme="minorHAnsi"/>
                <w:i/>
              </w:rPr>
              <w:t>eaching methods in literature lessons;</w:t>
            </w:r>
          </w:p>
          <w:p w14:paraId="4C929066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Methodology of teaching the writer's biography;</w:t>
            </w:r>
          </w:p>
          <w:p w14:paraId="5795D621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Basic stages of work on a literary work;</w:t>
            </w:r>
          </w:p>
          <w:p w14:paraId="082800B2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Methodology and methodology of artwork analysis;</w:t>
            </w:r>
          </w:p>
          <w:p w14:paraId="45CA52B5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Methodology of teaching works of various genres;</w:t>
            </w:r>
          </w:p>
          <w:p w14:paraId="222BF141" w14:textId="77777777" w:rsid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t>Demonstration in literature lessons;</w:t>
            </w:r>
          </w:p>
          <w:p w14:paraId="00C24124" w14:textId="61F33FC0" w:rsidR="003F2FC2" w:rsidRPr="003F2FC2" w:rsidRDefault="003F2FC2" w:rsidP="003F2F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3F2FC2">
              <w:rPr>
                <w:rFonts w:asciiTheme="minorHAnsi" w:hAnsiTheme="minorHAnsi" w:cstheme="minorHAnsi"/>
                <w:i/>
              </w:rPr>
              <w:lastRenderedPageBreak/>
              <w:t>Extracurricular work in literature.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CB7AC21" w14:textId="77777777" w:rsidR="003F2FC2" w:rsidRPr="003F2FC2" w:rsidRDefault="005A0E9F" w:rsidP="003F2FC2">
            <w:pPr>
              <w:rPr>
                <w:rFonts w:asciiTheme="minorHAnsi" w:hAnsiTheme="minorHAnsi" w:cstheme="minorHAnsi"/>
                <w:i/>
                <w:iCs/>
              </w:rPr>
            </w:pPr>
            <w:r w:rsidRPr="003F2FC2">
              <w:rPr>
                <w:rFonts w:asciiTheme="minorHAnsi" w:hAnsiTheme="minorHAnsi" w:cstheme="minorHAnsi"/>
                <w:b/>
                <w:i/>
                <w:iCs/>
              </w:rPr>
              <w:lastRenderedPageBreak/>
              <w:t>Recommended literature</w:t>
            </w:r>
            <w:r w:rsidR="008A34EB" w:rsidRPr="003F2FC2">
              <w:rPr>
                <w:rFonts w:asciiTheme="minorHAnsi" w:hAnsiTheme="minorHAnsi" w:cstheme="minorHAnsi"/>
                <w:b/>
                <w:i/>
                <w:iCs/>
              </w:rPr>
              <w:t>:</w:t>
            </w:r>
            <w:r w:rsidR="008A34EB" w:rsidRPr="003F2FC2">
              <w:rPr>
                <w:rFonts w:asciiTheme="minorHAnsi" w:hAnsiTheme="minorHAnsi" w:cstheme="minorHAnsi"/>
                <w:i/>
                <w:iCs/>
              </w:rPr>
              <w:t xml:space="preserve"> </w:t>
            </w:r>
          </w:p>
          <w:p w14:paraId="54904D7B" w14:textId="5D1A0D98" w:rsidR="003F2FC2" w:rsidRPr="003F2FC2" w:rsidRDefault="003F2FC2" w:rsidP="003F2FC2">
            <w:pPr>
              <w:tabs>
                <w:tab w:val="left" w:pos="426"/>
              </w:tabs>
              <w:rPr>
                <w:i/>
                <w:iCs/>
              </w:rPr>
            </w:pPr>
            <w:r w:rsidRPr="003F2FC2">
              <w:rPr>
                <w:i/>
                <w:iCs/>
              </w:rPr>
              <w:t>Nediľko, V., 1978. Metodyka vykladaňňa ukrajinskoji literatury v serednij školi. Kyjiv</w:t>
            </w:r>
            <w:r w:rsidRPr="003F2FC2">
              <w:rPr>
                <w:i/>
                <w:iCs/>
              </w:rPr>
              <w:br/>
              <w:t xml:space="preserve">Pasičnyk, J., 2000. Metodyka vykladaňňa ukrajinskoji literatury v serednich školach. Kyjiv </w:t>
            </w:r>
            <w:r w:rsidRPr="003F2FC2">
              <w:rPr>
                <w:i/>
                <w:iCs/>
              </w:rPr>
              <w:br/>
              <w:t xml:space="preserve">Pasičnyk, J., 1965. Ukrajinska literatura v školi. Kyjiv </w:t>
            </w:r>
            <w:r w:rsidRPr="003F2FC2">
              <w:rPr>
                <w:i/>
                <w:iCs/>
              </w:rPr>
              <w:br/>
              <w:t xml:space="preserve">Stepanyšyn, B., 1995. Vykladaňňa ukrajinskoji literatury v školi. Kyjiv </w:t>
            </w:r>
            <w:r w:rsidRPr="003F2FC2">
              <w:rPr>
                <w:i/>
                <w:iCs/>
              </w:rPr>
              <w:br/>
              <w:t>Odborné časopisy a iná literatúra: Dyvoslovo, Ukrajinska mova i literatura v navčaľnych zakladach.</w:t>
            </w:r>
          </w:p>
          <w:p w14:paraId="3EF9571A" w14:textId="77777777" w:rsidR="003F2FC2" w:rsidRPr="003F2FC2" w:rsidRDefault="003F2FC2" w:rsidP="003F2FC2">
            <w:pPr>
              <w:tabs>
                <w:tab w:val="left" w:pos="426"/>
              </w:tabs>
              <w:rPr>
                <w:i/>
                <w:iCs/>
              </w:rPr>
            </w:pPr>
            <w:r w:rsidRPr="003F2FC2">
              <w:rPr>
                <w:i/>
                <w:iCs/>
              </w:rPr>
              <w:t xml:space="preserve">Puľter, S. O. Metodyka vykladannja ukrajinskoji literatury v školi: kurs lekcij dlja stud.-filolohiv. Ternopiľ 2009. </w:t>
            </w:r>
          </w:p>
          <w:p w14:paraId="21D5399D" w14:textId="7E8F5E1A" w:rsidR="008A34EB" w:rsidRPr="003F2FC2" w:rsidRDefault="003F2FC2" w:rsidP="003F2FC2">
            <w:pPr>
              <w:rPr>
                <w:rFonts w:asciiTheme="minorHAnsi" w:hAnsiTheme="minorHAnsi" w:cstheme="minorHAnsi"/>
                <w:i/>
                <w:iCs/>
              </w:rPr>
            </w:pPr>
            <w:r w:rsidRPr="003F2FC2">
              <w:rPr>
                <w:i/>
                <w:iCs/>
              </w:rPr>
              <w:t>Tokmaň, H. L. Metodyka navčannja ukrajinskoji lit. V serednij školi: pidručnyk. Kyjiv 2012.</w:t>
            </w:r>
          </w:p>
        </w:tc>
      </w:tr>
      <w:tr w:rsidR="008A34EB" w:rsidRPr="00584E0B" w14:paraId="3D8727BF" w14:textId="77777777" w:rsidTr="003F2FC2">
        <w:trPr>
          <w:trHeight w:val="623"/>
        </w:trPr>
        <w:tc>
          <w:tcPr>
            <w:tcW w:w="9322" w:type="dxa"/>
            <w:gridSpan w:val="2"/>
            <w:vAlign w:val="center"/>
          </w:tcPr>
          <w:p w14:paraId="20DE489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  <w:color w:val="808080" w:themeColor="background1" w:themeShade="80"/>
              </w:rPr>
            </w:pPr>
            <w:r w:rsidRPr="005A0E9F">
              <w:rPr>
                <w:rFonts w:asciiTheme="minorHAnsi" w:hAnsiTheme="minorHAnsi" w:cstheme="minorHAnsi"/>
                <w:b/>
              </w:rPr>
              <w:t>Language which is necessary to complete the course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10FD67DE" w:rsidR="003F2FC2" w:rsidRPr="003F2FC2" w:rsidRDefault="003F2FC2" w:rsidP="00584E0B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3F2FC2">
              <w:rPr>
                <w:rFonts w:asciiTheme="minorHAnsi" w:hAnsiTheme="minorHAnsi" w:cstheme="minorHAnsi"/>
                <w:i/>
                <w:color w:val="000000" w:themeColor="text1"/>
              </w:rPr>
              <w:t>Ukrainian language</w:t>
            </w:r>
          </w:p>
        </w:tc>
      </w:tr>
      <w:tr w:rsidR="008A34EB" w:rsidRPr="00584E0B" w14:paraId="4DD79B57" w14:textId="77777777" w:rsidTr="003F2FC2">
        <w:trPr>
          <w:trHeight w:val="406"/>
        </w:trPr>
        <w:tc>
          <w:tcPr>
            <w:tcW w:w="9322" w:type="dxa"/>
            <w:gridSpan w:val="2"/>
            <w:vAlign w:val="center"/>
          </w:tcPr>
          <w:p w14:paraId="050C8F06" w14:textId="17D57430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3F2FC2">
        <w:trPr>
          <w:trHeight w:val="1276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427A0935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 number of students evaluated</w:t>
            </w:r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22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6363A3E4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0F39B7BB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23%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6978EAE4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343A0FE2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68E4FF13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79319DF2" w:rsidR="008A34EB" w:rsidRPr="00584E0B" w:rsidRDefault="003F2FC2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9%</w:t>
                  </w:r>
                </w:p>
              </w:tc>
            </w:tr>
          </w:tbl>
          <w:p w14:paraId="0979F6C3" w14:textId="5EC00574" w:rsidR="008A34EB" w:rsidRPr="00584E0B" w:rsidRDefault="008A34EB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3F2FC2">
        <w:trPr>
          <w:trHeight w:val="350"/>
        </w:trPr>
        <w:tc>
          <w:tcPr>
            <w:tcW w:w="9322" w:type="dxa"/>
            <w:gridSpan w:val="2"/>
            <w:vAlign w:val="center"/>
          </w:tcPr>
          <w:p w14:paraId="38EF6943" w14:textId="47E908FA" w:rsidR="003F2FC2" w:rsidRPr="00584E0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Lecturers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16EEF" w:rsidRPr="00816EEF">
              <w:rPr>
                <w:rFonts w:asciiTheme="minorHAnsi" w:hAnsiTheme="minorHAnsi" w:cstheme="minorHAnsi"/>
                <w:i/>
                <w:iCs/>
              </w:rPr>
              <w:t xml:space="preserve">Ph.Dr. </w:t>
            </w:r>
            <w:r w:rsidR="003F2FC2" w:rsidRPr="00816EEF">
              <w:rPr>
                <w:rFonts w:asciiTheme="minorHAnsi" w:hAnsiTheme="minorHAnsi" w:cstheme="minorHAnsi"/>
                <w:i/>
                <w:iCs/>
              </w:rPr>
              <w:t xml:space="preserve">Adriana Amir, PhD., </w:t>
            </w:r>
            <w:r w:rsidR="00816EEF" w:rsidRPr="00816EEF">
              <w:rPr>
                <w:rFonts w:asciiTheme="minorHAnsi" w:hAnsiTheme="minorHAnsi" w:cstheme="minorHAnsi"/>
                <w:i/>
                <w:iCs/>
              </w:rPr>
              <w:t>Associate Prof</w:t>
            </w:r>
            <w:r w:rsidR="003F2FC2" w:rsidRPr="00816EEF">
              <w:rPr>
                <w:rFonts w:asciiTheme="minorHAnsi" w:hAnsiTheme="minorHAnsi" w:cstheme="minorHAnsi"/>
                <w:i/>
                <w:iCs/>
              </w:rPr>
              <w:t>. Halyna Kuz, PhD.</w:t>
            </w:r>
          </w:p>
        </w:tc>
      </w:tr>
      <w:tr w:rsidR="008A34EB" w:rsidRPr="00584E0B" w14:paraId="460D964F" w14:textId="77777777" w:rsidTr="003F2FC2">
        <w:trPr>
          <w:trHeight w:val="90"/>
        </w:trPr>
        <w:tc>
          <w:tcPr>
            <w:tcW w:w="9322" w:type="dxa"/>
            <w:gridSpan w:val="2"/>
            <w:vAlign w:val="center"/>
          </w:tcPr>
          <w:p w14:paraId="20D27CE1" w14:textId="540C3FC8" w:rsidR="003F2FC2" w:rsidRPr="003F2FC2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</w:rPr>
              <w:t>Date of last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color w:val="000000" w:themeColor="text1"/>
              </w:rPr>
              <w:t>26.01.22</w:t>
            </w:r>
          </w:p>
        </w:tc>
      </w:tr>
      <w:tr w:rsidR="008A34EB" w:rsidRPr="00584E0B" w14:paraId="10996AB0" w14:textId="77777777" w:rsidTr="003F2FC2">
        <w:trPr>
          <w:trHeight w:val="269"/>
        </w:trPr>
        <w:tc>
          <w:tcPr>
            <w:tcW w:w="9322" w:type="dxa"/>
            <w:gridSpan w:val="2"/>
            <w:vAlign w:val="center"/>
          </w:tcPr>
          <w:p w14:paraId="124C34FC" w14:textId="6CCDA155" w:rsidR="003F2FC2" w:rsidRPr="003F2FC2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Approved by</w:t>
            </w:r>
            <w:r w:rsidR="008A34EB" w:rsidRPr="00816EEF">
              <w:rPr>
                <w:rFonts w:asciiTheme="minorHAnsi" w:hAnsiTheme="minorHAnsi" w:cstheme="minorHAnsi"/>
                <w:b/>
                <w:i/>
                <w:iCs/>
              </w:rPr>
              <w:t>:</w:t>
            </w:r>
            <w:r w:rsidR="008A34EB" w:rsidRPr="00816EE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816EEF" w:rsidRPr="00816EEF">
              <w:rPr>
                <w:rFonts w:asciiTheme="minorHAnsi" w:hAnsiTheme="minorHAnsi" w:cstheme="minorHAnsi"/>
                <w:i/>
                <w:iCs/>
              </w:rPr>
              <w:t>P</w:t>
            </w:r>
            <w:r w:rsidR="003F2FC2" w:rsidRPr="00816EEF">
              <w:rPr>
                <w:rFonts w:asciiTheme="minorHAnsi" w:hAnsiTheme="minorHAnsi" w:cstheme="minorHAnsi"/>
                <w:i/>
                <w:iCs/>
              </w:rPr>
              <w:t>rof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.</w:t>
            </w:r>
            <w:r w:rsidR="003F2FC2" w:rsidRPr="003F2FC2">
              <w:rPr>
                <w:i/>
                <w:iCs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PhDr.</w:t>
            </w:r>
            <w:r w:rsidR="003F2FC2" w:rsidRPr="003F2FC2">
              <w:rPr>
                <w:i/>
                <w:iCs/>
              </w:rPr>
              <w:t xml:space="preserve"> </w:t>
            </w:r>
            <w:r w:rsidR="003F2FC2" w:rsidRPr="003F2FC2">
              <w:rPr>
                <w:rFonts w:asciiTheme="minorHAnsi" w:hAnsiTheme="minorHAnsi" w:cstheme="minorHAnsi"/>
                <w:i/>
                <w:iCs/>
              </w:rPr>
              <w:t>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EC0B0" w14:textId="77777777" w:rsidR="00D825E2" w:rsidRDefault="00D825E2" w:rsidP="00524AED">
      <w:r>
        <w:separator/>
      </w:r>
    </w:p>
  </w:endnote>
  <w:endnote w:type="continuationSeparator" w:id="0">
    <w:p w14:paraId="6E233C41" w14:textId="77777777" w:rsidR="00D825E2" w:rsidRDefault="00D825E2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24837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24837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24837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24837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27400" w14:textId="77777777" w:rsidR="00D825E2" w:rsidRDefault="00D825E2" w:rsidP="00524AED">
      <w:r>
        <w:separator/>
      </w:r>
    </w:p>
  </w:footnote>
  <w:footnote w:type="continuationSeparator" w:id="0">
    <w:p w14:paraId="2171906F" w14:textId="77777777" w:rsidR="00D825E2" w:rsidRDefault="00D825E2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1E86"/>
    <w:multiLevelType w:val="hybridMultilevel"/>
    <w:tmpl w:val="E29AC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D3268"/>
    <w:rsid w:val="00225921"/>
    <w:rsid w:val="00233655"/>
    <w:rsid w:val="00234395"/>
    <w:rsid w:val="002A5BF1"/>
    <w:rsid w:val="002D7C58"/>
    <w:rsid w:val="003122C8"/>
    <w:rsid w:val="00376102"/>
    <w:rsid w:val="003C0EA9"/>
    <w:rsid w:val="003D218D"/>
    <w:rsid w:val="003F2FC2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24837"/>
    <w:rsid w:val="007468B8"/>
    <w:rsid w:val="007817B3"/>
    <w:rsid w:val="00781CF0"/>
    <w:rsid w:val="00791624"/>
    <w:rsid w:val="00816EEF"/>
    <w:rsid w:val="00896023"/>
    <w:rsid w:val="008A34EB"/>
    <w:rsid w:val="008D4963"/>
    <w:rsid w:val="00942D36"/>
    <w:rsid w:val="009C3D14"/>
    <w:rsid w:val="00A0539F"/>
    <w:rsid w:val="00A56373"/>
    <w:rsid w:val="00A65AB0"/>
    <w:rsid w:val="00AA07DB"/>
    <w:rsid w:val="00B64928"/>
    <w:rsid w:val="00BB7400"/>
    <w:rsid w:val="00BE2642"/>
    <w:rsid w:val="00CF5E19"/>
    <w:rsid w:val="00D20030"/>
    <w:rsid w:val="00D643F6"/>
    <w:rsid w:val="00D825E2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3F2F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3F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882D9-9B42-415A-96E7-EACB8B7A3BBD}"/>
</file>

<file path=customXml/itemProps4.xml><?xml version="1.0" encoding="utf-8"?>
<ds:datastoreItem xmlns:ds="http://schemas.openxmlformats.org/officeDocument/2006/customXml" ds:itemID="{A8700426-92D7-4DB8-8E25-C6F429CB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