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CD" w:rsidRPr="00F40701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5735CD" w:rsidRPr="00F40701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Prešovská univerzita v Prešove</w:t>
      </w:r>
    </w:p>
    <w:p w:rsidR="005735CD" w:rsidRPr="00F40701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Pravoslávna bohoslovecká fakulta</w:t>
      </w:r>
    </w:p>
    <w:p w:rsidR="005735CD" w:rsidRPr="00F40701" w:rsidRDefault="005735CD" w:rsidP="000161CC">
      <w:pPr>
        <w:widowControl w:val="0"/>
        <w:jc w:val="center"/>
        <w:rPr>
          <w:sz w:val="28"/>
          <w:szCs w:val="28"/>
        </w:rPr>
      </w:pPr>
    </w:p>
    <w:p w:rsidR="005735CD" w:rsidRPr="00F40701" w:rsidRDefault="005735CD" w:rsidP="000161CC">
      <w:pPr>
        <w:widowControl w:val="0"/>
        <w:jc w:val="center"/>
        <w:rPr>
          <w:sz w:val="28"/>
          <w:szCs w:val="28"/>
        </w:rPr>
      </w:pPr>
    </w:p>
    <w:p w:rsidR="005735CD" w:rsidRPr="00F40701" w:rsidRDefault="005735CD" w:rsidP="000161CC">
      <w:pPr>
        <w:widowControl w:val="0"/>
        <w:jc w:val="center"/>
        <w:rPr>
          <w:sz w:val="28"/>
          <w:szCs w:val="28"/>
        </w:rPr>
      </w:pPr>
    </w:p>
    <w:p w:rsidR="005735CD" w:rsidRPr="00F40701" w:rsidRDefault="005735CD" w:rsidP="000161CC">
      <w:pPr>
        <w:widowControl w:val="0"/>
        <w:jc w:val="center"/>
        <w:rPr>
          <w:sz w:val="28"/>
          <w:szCs w:val="28"/>
        </w:rPr>
      </w:pPr>
    </w:p>
    <w:p w:rsidR="005735CD" w:rsidRPr="00F40701" w:rsidRDefault="005735CD" w:rsidP="000161CC">
      <w:pPr>
        <w:widowControl w:val="0"/>
        <w:jc w:val="center"/>
        <w:rPr>
          <w:sz w:val="28"/>
          <w:szCs w:val="28"/>
        </w:rPr>
      </w:pPr>
    </w:p>
    <w:p w:rsidR="005735CD" w:rsidRPr="00F40701" w:rsidRDefault="005735CD" w:rsidP="000161CC">
      <w:pPr>
        <w:widowControl w:val="0"/>
        <w:jc w:val="center"/>
        <w:rPr>
          <w:sz w:val="28"/>
          <w:szCs w:val="28"/>
        </w:rPr>
      </w:pPr>
    </w:p>
    <w:p w:rsidR="005735CD" w:rsidRDefault="005735CD" w:rsidP="000161CC">
      <w:pPr>
        <w:widowControl w:val="0"/>
        <w:jc w:val="center"/>
        <w:rPr>
          <w:sz w:val="28"/>
          <w:szCs w:val="28"/>
        </w:rPr>
      </w:pPr>
    </w:p>
    <w:p w:rsidR="005735CD" w:rsidRDefault="005735CD" w:rsidP="000161CC">
      <w:pPr>
        <w:widowControl w:val="0"/>
        <w:jc w:val="center"/>
        <w:rPr>
          <w:sz w:val="28"/>
          <w:szCs w:val="28"/>
        </w:rPr>
      </w:pPr>
    </w:p>
    <w:p w:rsidR="005735CD" w:rsidRPr="0052023D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bCs/>
          <w:caps/>
          <w:sz w:val="28"/>
          <w:szCs w:val="28"/>
          <w:lang w:eastAsia="sk-SK"/>
        </w:rPr>
      </w:pPr>
      <w:r>
        <w:rPr>
          <w:rFonts w:ascii="Palatino Linotype" w:hAnsi="Palatino Linotype"/>
          <w:bCs/>
          <w:caps/>
          <w:sz w:val="28"/>
          <w:szCs w:val="28"/>
          <w:lang w:eastAsia="sk-SK"/>
        </w:rPr>
        <w:t>vlastná vedecká škola</w:t>
      </w:r>
    </w:p>
    <w:p w:rsidR="005735CD" w:rsidRPr="000161CC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5735CD" w:rsidRPr="00F40701" w:rsidRDefault="005735CD" w:rsidP="000161CC">
      <w:pPr>
        <w:jc w:val="center"/>
        <w:rPr>
          <w:sz w:val="28"/>
          <w:szCs w:val="28"/>
        </w:rPr>
      </w:pPr>
    </w:p>
    <w:p w:rsidR="005735CD" w:rsidRPr="00F40701" w:rsidRDefault="005735CD" w:rsidP="000161CC">
      <w:pPr>
        <w:jc w:val="center"/>
        <w:rPr>
          <w:sz w:val="28"/>
          <w:szCs w:val="28"/>
        </w:rPr>
      </w:pPr>
    </w:p>
    <w:p w:rsidR="005735CD" w:rsidRPr="00F40701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5735CD" w:rsidRPr="00F40701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5735CD" w:rsidRPr="00F40701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5735CD" w:rsidRPr="00F40701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5735CD" w:rsidRPr="00F40701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5735CD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5735CD" w:rsidRPr="000161CC" w:rsidRDefault="005735CD" w:rsidP="000161CC">
      <w:pPr>
        <w:rPr>
          <w:lang w:eastAsia="cs-CZ"/>
        </w:rPr>
      </w:pPr>
    </w:p>
    <w:p w:rsidR="005735CD" w:rsidRPr="00F40701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5735CD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5735CD" w:rsidRPr="0052023D" w:rsidRDefault="005735CD" w:rsidP="0052023D">
      <w:pPr>
        <w:rPr>
          <w:lang w:eastAsia="cs-CZ"/>
        </w:rPr>
      </w:pPr>
    </w:p>
    <w:p w:rsidR="005735CD" w:rsidRPr="00F40701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5735CD" w:rsidRPr="0052023D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52023D">
        <w:rPr>
          <w:rFonts w:ascii="Palatino Linotype" w:hAnsi="Palatino Linotype"/>
          <w:sz w:val="28"/>
          <w:szCs w:val="28"/>
        </w:rPr>
        <w:t>Dr. h. c. doc. ThDr. Kryštof, Pulec, PhD.</w:t>
      </w:r>
    </w:p>
    <w:p w:rsidR="005735CD" w:rsidRDefault="005735CD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Prešov 2014</w:t>
      </w:r>
    </w:p>
    <w:p w:rsidR="005735CD" w:rsidRPr="00201A88" w:rsidRDefault="005735CD" w:rsidP="00201A88">
      <w:pPr>
        <w:keepNext/>
        <w:keepLines/>
        <w:widowControl w:val="0"/>
        <w:autoSpaceDE w:val="0"/>
        <w:autoSpaceDN w:val="0"/>
        <w:adjustRightInd w:val="0"/>
        <w:jc w:val="center"/>
        <w:rPr>
          <w:rFonts w:ascii="Palatino Linotype" w:hAnsi="Palatino Linotype" w:cs="Arial"/>
          <w:b/>
          <w:bCs/>
          <w:sz w:val="26"/>
          <w:szCs w:val="20"/>
        </w:rPr>
      </w:pPr>
      <w:r>
        <w:rPr>
          <w:rFonts w:ascii="Palatino Linotype" w:hAnsi="Palatino Linotype" w:cs="Arial"/>
          <w:b/>
          <w:bCs/>
          <w:sz w:val="26"/>
          <w:szCs w:val="20"/>
        </w:rPr>
        <w:t>Vlastná vedecká škola</w:t>
      </w:r>
    </w:p>
    <w:p w:rsidR="005735CD" w:rsidRDefault="005735CD" w:rsidP="0052023D">
      <w:pPr>
        <w:keepLines/>
        <w:widowControl w:val="0"/>
        <w:autoSpaceDE w:val="0"/>
        <w:autoSpaceDN w:val="0"/>
        <w:adjustRightInd w:val="0"/>
        <w:spacing w:after="20" w:line="240" w:lineRule="auto"/>
        <w:rPr>
          <w:rFonts w:ascii="Palatino Linotype" w:hAnsi="Palatino Linotype" w:cs="Arial"/>
          <w:sz w:val="20"/>
          <w:szCs w:val="20"/>
        </w:rPr>
      </w:pPr>
    </w:p>
    <w:p w:rsidR="005735CD" w:rsidRDefault="005735CD" w:rsidP="0052023D">
      <w:pPr>
        <w:keepLines/>
        <w:widowControl w:val="0"/>
        <w:autoSpaceDE w:val="0"/>
        <w:autoSpaceDN w:val="0"/>
        <w:adjustRightInd w:val="0"/>
        <w:spacing w:after="20" w:line="240" w:lineRule="auto"/>
        <w:rPr>
          <w:rFonts w:ascii="Palatino Linotype" w:hAnsi="Palatino Linotype" w:cs="Arial"/>
          <w:sz w:val="20"/>
          <w:szCs w:val="20"/>
        </w:rPr>
      </w:pPr>
    </w:p>
    <w:p w:rsidR="005735CD" w:rsidRPr="00201A88" w:rsidRDefault="005735CD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center"/>
        <w:rPr>
          <w:rFonts w:ascii="Palatino Linotype" w:hAnsi="Palatino Linotype" w:cs="Arial"/>
          <w:sz w:val="20"/>
          <w:szCs w:val="20"/>
        </w:rPr>
      </w:pPr>
    </w:p>
    <w:p w:rsidR="005735CD" w:rsidRPr="000A6752" w:rsidRDefault="005735CD" w:rsidP="000A6752">
      <w:pPr>
        <w:spacing w:after="0" w:line="36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0A6752">
        <w:rPr>
          <w:rFonts w:ascii="Palatino Linotype" w:hAnsi="Palatino Linotype"/>
          <w:sz w:val="24"/>
          <w:szCs w:val="24"/>
        </w:rPr>
        <w:t>V deväťdesiatych rokoch minulého storočia získala Pravoslávna bohoslovecká fakulta v Prešove podobne ako ostatné vysoké školy rovnakého zamerania priestor pre slobodný rozvoj teologického myslenia. Nadviazali sme na skúsenosti a štruktúru odborných disciplín zahraničných teologických fakúlt pôsobiacich na univerzitnej pôde. Zvlášť to bola Teologická fakulta Kapadostriovej univerzity v Aténach, kde sme tri roky pôsobili na katedre Cirkevných dejín v rámci doktorandského štúdia. Počas tohto obdobia sme sa zúčastnili niekoľkých medzinárodných konferencií venovaných histórii cirkvi a interkonfesijného dialógu. Získané skúsenosti sme využili na Pravoslávnej bohosloveckej fakulte v Prešove v oblasti prezentácie ekumenizmu v rámci komparatívnej symboliky, ďalej v oblasti histórie a života lokálnych pravoslávnych cirkví v nadväznosti na kresťanskú sociológiu.</w:t>
      </w:r>
    </w:p>
    <w:p w:rsidR="005735CD" w:rsidRPr="000A6752" w:rsidRDefault="005735CD" w:rsidP="000A6752">
      <w:pPr>
        <w:spacing w:after="0" w:line="36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0A6752">
        <w:rPr>
          <w:rFonts w:ascii="Palatino Linotype" w:hAnsi="Palatino Linotype"/>
          <w:sz w:val="24"/>
          <w:szCs w:val="24"/>
        </w:rPr>
        <w:t>Hlavným výstupom prezentácie ekumenického hnutia bola okrem utvorenia didaktického systému výučby tohto predmetu založenej na znalosti pôvodných prameňov, jeho historickej evolúcie a teologických previerok spoločných vyhlásení, práca s doktorandmi, ktorí si zvolili pre svoje štúdium ekumenickú tematiku. Jedným z nich bol roku 2006 Ján Holonič, ktorý za nášho vedenia spracoval a kriticky prezentoval výsledky niekoľkoročného teologického dialógu aliancie reformovaných cirkví s cirkvami pravoslávnymi pod názvom: Dialóg s protestantskými cirkvami (Dejiny a súčasnosť dialógu pravoslávnej a reformovanej cirkvi zastúpenú v svetovej aliancii reformovaných cirkví). Doktorand sa vo svojej dizertačnej práci opieral o metodiku, ktorú sme vypracovali v odbornej publikácii venovanej interkonfesionálnemu dialógu pravoslávnej a orientálnych pravoslávnych cirkví. V tejto práci sa nám podarilo podrobiť teologickej kritike z pohľadu pravoslávnej teológie spoločné vyhlásenia tejto komisie a zaradiť ich do širšieho kontextu odborných výstupov podobných dialógov v rámci súčasného ekumenického hnutia. Doktorand úspešne obhájil dizertačnú prácu a dnes pôsobí na vysokej škole v zahraničí.</w:t>
      </w:r>
    </w:p>
    <w:p w:rsidR="005735CD" w:rsidRPr="000A6752" w:rsidRDefault="005735CD" w:rsidP="000A6752">
      <w:pPr>
        <w:spacing w:after="0" w:line="36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0A6752">
        <w:rPr>
          <w:rFonts w:ascii="Palatino Linotype" w:hAnsi="Palatino Linotype"/>
          <w:sz w:val="24"/>
          <w:szCs w:val="24"/>
        </w:rPr>
        <w:t xml:space="preserve">Na kruciálnom princípe znalosti pôvodných prameňov, s tematikou s tým súvisiacich myšlienkových prúdov a historických relácií, je založená tiež naša škola aktuálnej sektológie ako súčasť zrovnávacieho bohoslovia. Jej metodiku spojenú so sociologickým prieskumom stelesnila monografia „In Guru 's light“, písaná v slovenčine a venovaná kultu Sri Chinmoya. Odbornú recenziu na predmetnú monografiu okrem členov profesorského zboru našej fakulty vypracoval aj Miroslav Lojda v časopise Pre kresťanskú duchovnú orientáciu - Rozmer v roku 2000, č. 2. V jej hodnotiacej časti napísal: Autor vo svojom diele ponúka pohľad na doposiaľ nepublikované materiály kultu, pričom ich spracovanie sa vymyká kompilačnému charakteru a publikáciám, ktoré je možné považovať za heuristické... Prvé kapitoly uvádzajú čitateľa do problematiky, krátko opisuje náboženskú situáciu u nás pred novembrom 1989, ako aj príčiny súčasného úspechu siekt na Slovensku. Priestor venuje aj známemu fenoménu hnutia New Age.... Pre publikáciu je charakteristické časté používanie citácií, a to najmä z diel samotného Sri Chinmoya, alebo z periodík Krídla inšpirácie a Victory gong vydávaných členmi jeho kultu.... Autorovi sa podarilo správne vystihnúť Chinmoyovú manipulatívnu techniku, ktorou láka svoje budúce obete. Najlepšie to ilustruje príklad toľko zdôrazňovaného „neškodného behu“. </w:t>
      </w:r>
      <w:r w:rsidRPr="000A6752">
        <w:rPr>
          <w:rFonts w:ascii="Palatino Linotype" w:hAnsi="Palatino Linotype"/>
          <w:sz w:val="24"/>
          <w:szCs w:val="24"/>
        </w:rPr>
        <w:tab/>
        <w:t>Ako dokumentuje číslo 186, počet poznámok pod čiarou, ako aj zoznam literatúry, autor preštudoval veľa prameňov, kým napísal túto monografiu. Je prvý a zatiaľ jediný, kto sa u nás pokúsil zosumarizovať známe fakty a pridať k nim niečo navyše... (Rozmer 2000, č. 2, s. 28).</w:t>
      </w:r>
    </w:p>
    <w:p w:rsidR="005735CD" w:rsidRPr="000A6752" w:rsidRDefault="005735CD" w:rsidP="000A6752">
      <w:pPr>
        <w:spacing w:after="0" w:line="36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0A6752">
        <w:rPr>
          <w:rFonts w:ascii="Palatino Linotype" w:hAnsi="Palatino Linotype"/>
          <w:sz w:val="24"/>
          <w:szCs w:val="24"/>
        </w:rPr>
        <w:t>Aktuálne sa sektológiou, jej rozvoju na Pravoslávnej bohosloveckej fakulte venuje jeden z našich bývalých študentov v súčasnosti odborný asistent Maroš ŠIP, PhD.</w:t>
      </w:r>
    </w:p>
    <w:p w:rsidR="005735CD" w:rsidRPr="000A6752" w:rsidRDefault="005735CD" w:rsidP="000A6752">
      <w:pPr>
        <w:spacing w:after="0" w:line="36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0A6752">
        <w:rPr>
          <w:rFonts w:ascii="Palatino Linotype" w:hAnsi="Palatino Linotype"/>
          <w:sz w:val="24"/>
          <w:szCs w:val="24"/>
        </w:rPr>
        <w:t>Ďalšou oblasťou nášho vedeckého bádania sú Dejiny a súčasnosť miestnych pravoslávnych cirkví. Didakticky sme vypracovali obsahovú schému tejto disciplíny a opierali sme sa pri tom o metodické využitie originálnych symbolických textov a historických prameňov z jednotlivých patriarchátov, metropolií a arcibiskupstiev. Na tomto základe sme prezentovali ich administratívnu štruktúru, duchovný život v relácii na dogmatickú teológiu, kanonické právo a liturgiku. Ako metodická príručka k tejto tematike vyšla v roku 2007 v Moskve naša publikácia „Pravoslavnyj mir“, na ktorú nadviazali ruskí teológovia a podľa nej prezentovali ďalšie symbolické texty a pramene v kontexte súčasného života lokálnych pravoslávnych cirkví.</w:t>
      </w:r>
    </w:p>
    <w:p w:rsidR="005735CD" w:rsidRPr="000A6752" w:rsidRDefault="005735CD" w:rsidP="000A6752">
      <w:pPr>
        <w:spacing w:after="0" w:line="36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0A6752">
        <w:rPr>
          <w:rFonts w:ascii="Palatino Linotype" w:hAnsi="Palatino Linotype"/>
          <w:sz w:val="24"/>
          <w:szCs w:val="24"/>
        </w:rPr>
        <w:t>V rámci katedry Cirkevných dejín sme aplikovali odborný prístup k Byzantológii a v súvislosti s tým sme publikovali knižnú publikáciu pod názvom Byzantológia I., Úvod a prehľadné dejiny byzantského štátu v roku 1995. Vďaka účasti na niekoľkých medzinárodných konferenciách venovaných byzantológii sme mali možnosť sa zoznámiť s významným slovenským odborníkom v oblasti dejín Veľkomoravskej ríše a cyrilo-metodskej misie Alexandrom Avenáriom, ktorý začal s našou fakultou spolupracovať a stal sa jej profesorom. Profesor Avenárius prednášal až do svojej smrti Byzantológiu podľa nami vypracovaného základného konceptu tejto disciplíny, na ktorú ďalej nadviazal profesor Pružinský a v súčasnej dobe v nej pokračujú a rozvíjajú prof. Ján Šafin a doc. Václav Ježek.</w:t>
      </w:r>
    </w:p>
    <w:p w:rsidR="005735CD" w:rsidRPr="000A6752" w:rsidRDefault="005735CD" w:rsidP="000A6752">
      <w:pPr>
        <w:spacing w:after="0" w:line="36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0A6752">
        <w:rPr>
          <w:rFonts w:ascii="Palatino Linotype" w:hAnsi="Palatino Linotype"/>
          <w:sz w:val="24"/>
          <w:szCs w:val="24"/>
        </w:rPr>
        <w:t>Patristické myslenie zakotvené v teológii na našej fakulte prehĺbila naša monografia Svätý Nektarios Eginský, metropolita pentapolský a Otec Porfyrios. Profesorské recenzie ju hodnotili ako texty umožňujúce zobraziť život a dielo svätcov - starcov úplne neznámych slovenskej i českej duchovnej literatúre a umožňujúcu zdôrazniť zásadné priority súčasnej hagiografie.</w:t>
      </w:r>
    </w:p>
    <w:p w:rsidR="005735CD" w:rsidRPr="000A6752" w:rsidRDefault="005735CD" w:rsidP="000A6752">
      <w:pPr>
        <w:spacing w:after="0" w:line="36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0A6752">
        <w:rPr>
          <w:rFonts w:ascii="Palatino Linotype" w:hAnsi="Palatino Linotype"/>
          <w:sz w:val="24"/>
          <w:szCs w:val="24"/>
        </w:rPr>
        <w:t>Ako úplne nová teologická disciplína rozvíjajúca systematickú teológiu sa v druhej polovici minulého storočia profilovala na teologických fakultách kresťanská sociológia. Všeobecná sociológia a z nej potom vychádzajúca sociológia náboženstva a napokon kresťanská sociológia sa dnes jasne emancipovali od histórie ľudskej spoločnosti a filozofie. Venujeme sa preto aplikácii dejín ako sociológii Cirkvi a v rámci ich aktualizácie sme mali relevantné výstupy v teologických časopisoch a na medzinárodných konferenciách. V súčasnej dobe prebieha interdisciplinárna spolupráca v tejto oblasti so zahraničnými univerzitami. Tejto tematike sa venujú aj naši študenti vo svojich seminárnych i záverečných prácach. Minulý rok napríklad úspešne obhájila rigoróznu prácu Mgr. Silvia Latová na tému „Sekularizácia v spoločnosti a cirkvi“.</w:t>
      </w:r>
    </w:p>
    <w:p w:rsidR="005735CD" w:rsidRPr="000A6752" w:rsidRDefault="005735CD" w:rsidP="000A6752">
      <w:pPr>
        <w:spacing w:after="0" w:line="36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0A6752">
        <w:rPr>
          <w:rFonts w:ascii="Palatino Linotype" w:hAnsi="Palatino Linotype"/>
          <w:sz w:val="24"/>
          <w:szCs w:val="24"/>
        </w:rPr>
        <w:t>Vedomosti pravoslávnej teológie, histórie a sociológie sme využili tiež pri tvorbe špecializovaného interdisciplinárneho vysokoškolského predmetu zameraného na duchovné prostredie gréckeho jazyka. Pod názvom Ortodoxia sme ho prednášali na Filozofickej fakulte Masarykovej univerzity v Brne a je stále vedený ako nepovinne voliteľný predmet.</w:t>
      </w:r>
    </w:p>
    <w:p w:rsidR="005735CD" w:rsidRPr="000A6752" w:rsidRDefault="005735CD" w:rsidP="000A6752">
      <w:pPr>
        <w:spacing w:after="0" w:line="360" w:lineRule="auto"/>
        <w:ind w:firstLine="709"/>
        <w:jc w:val="both"/>
        <w:rPr>
          <w:rFonts w:ascii="Palatino Linotype" w:hAnsi="Palatino Linotype"/>
          <w:sz w:val="24"/>
          <w:szCs w:val="24"/>
        </w:rPr>
      </w:pPr>
      <w:r w:rsidRPr="000A6752">
        <w:rPr>
          <w:rFonts w:ascii="Palatino Linotype" w:hAnsi="Palatino Linotype"/>
          <w:sz w:val="24"/>
          <w:szCs w:val="24"/>
        </w:rPr>
        <w:t xml:space="preserve">Počas nášho štvrť storočia trvajúceho pôsobenia na Pravoslávnej bohosloveckej fakulte v Prešove ukončilo svoje štúdium za našej pedagogickej účasti niekoľko sto študentov a študentiek. Mimo odborných vedomostí si do praktického života graduovaných teológov odniesli orientačnú spôsobilosť v súčasnej interkonfesionálnej realite a systematický prístup k riešeniu relácií cirkvi a štátu, cirkvi a kultúry, cirkvi v postmodernej sekularizovanej spoločnosti a ďalších tém kresťanskej sociológie. Väčšina z nich dnes zastáva duchovenskú službu a iné odborné zamestnania na Slovensku aj v zahraničí. Jeden z nich je dokonca metropolitom, ďalší sú biskupmi, tajomníkmi biskupských úradov, dekanom fakulty, honorárnym konzulom, pracovníkmi v štátnej správe. </w:t>
      </w:r>
    </w:p>
    <w:p w:rsidR="005735CD" w:rsidRPr="000A6752" w:rsidRDefault="005735CD" w:rsidP="000A6752">
      <w:pPr>
        <w:spacing w:after="0" w:line="360" w:lineRule="auto"/>
        <w:ind w:firstLine="709"/>
        <w:jc w:val="both"/>
        <w:rPr>
          <w:rFonts w:ascii="Palatino Linotype" w:hAnsi="Palatino Linotype" w:cs="Arial"/>
          <w:sz w:val="28"/>
          <w:szCs w:val="24"/>
        </w:rPr>
      </w:pPr>
      <w:r w:rsidRPr="000A6752">
        <w:rPr>
          <w:rFonts w:ascii="Palatino Linotype" w:hAnsi="Palatino Linotype"/>
          <w:sz w:val="24"/>
          <w:szCs w:val="24"/>
        </w:rPr>
        <w:t>Vďaka konfesionálnej ale aj tiež interkonfesionálnej spolupráci, ktorú sme nadviazali a stále ju prehlbujeme, sa stala naša Pravoslávna bohoslovecká fakulta renomovaným teologickým pracoviskom a prispela k rozvoju a prehĺbeniu pravoslávneho teologického myslenia nielen vo východnej Európe, ale aj na univerzitách západnej Európy a v Amerike. Výrazom toho bolo udelenie čestného doktorátu teológie za naše celoživotné dielo na teologickej fakulte Svätého Vladimíra pôsobiaca v rámci Univerzity štátu New York. Túto skutočnosť ďalej ilustruje niekoľko rokov trvajúca účasť na riešení aktuálnych sociologických tém na pôde Kapadostriovej univerzity v Aténach.</w:t>
      </w:r>
    </w:p>
    <w:p w:rsidR="005735CD" w:rsidRPr="00201A88" w:rsidRDefault="005735CD" w:rsidP="00201A88">
      <w:pPr>
        <w:spacing w:after="120"/>
        <w:ind w:left="567" w:hanging="567"/>
        <w:jc w:val="both"/>
        <w:rPr>
          <w:rFonts w:ascii="Palatino Linotype" w:hAnsi="Palatino Linotype" w:cs="Arial"/>
          <w:sz w:val="28"/>
          <w:szCs w:val="24"/>
        </w:rPr>
      </w:pPr>
    </w:p>
    <w:p w:rsidR="005735CD" w:rsidRDefault="005735CD" w:rsidP="00653B4B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5735CD" w:rsidRDefault="005735CD" w:rsidP="00653B4B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5735CD" w:rsidRDefault="005735CD" w:rsidP="00653B4B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5735CD" w:rsidRPr="00201A88" w:rsidRDefault="005735CD" w:rsidP="00653B4B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653B4B">
        <w:rPr>
          <w:rFonts w:ascii="Palatino Linotype" w:hAnsi="Palatino Linotype" w:cs="Arial"/>
          <w:sz w:val="24"/>
          <w:szCs w:val="24"/>
        </w:rPr>
        <w:t>V Prešove, 02. 04. 2014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ab/>
      </w:r>
      <w:r>
        <w:rPr>
          <w:rFonts w:ascii="Palatino Linotype" w:hAnsi="Palatino Linotype" w:cs="Arial"/>
          <w:sz w:val="24"/>
          <w:szCs w:val="24"/>
        </w:rPr>
        <w:tab/>
      </w:r>
      <w:r>
        <w:rPr>
          <w:rFonts w:ascii="Palatino Linotype" w:hAnsi="Palatino Linotype" w:cs="Arial"/>
          <w:sz w:val="24"/>
          <w:szCs w:val="24"/>
        </w:rPr>
        <w:tab/>
      </w:r>
      <w:r>
        <w:rPr>
          <w:rFonts w:ascii="Palatino Linotype" w:hAnsi="Palatino Linotype" w:cs="Arial"/>
          <w:sz w:val="24"/>
          <w:szCs w:val="24"/>
        </w:rPr>
        <w:tab/>
        <w:t xml:space="preserve">  </w:t>
      </w:r>
      <w:r w:rsidRPr="00201A88">
        <w:rPr>
          <w:rFonts w:ascii="Palatino Linotype" w:hAnsi="Palatino Linotype" w:cs="Arial"/>
          <w:sz w:val="24"/>
          <w:szCs w:val="24"/>
        </w:rPr>
        <w:t>Dr. h. c. doc. ThDr. Kryštof, Pulec, PhD.</w:t>
      </w:r>
    </w:p>
    <w:sectPr w:rsidR="005735CD" w:rsidRPr="00201A88" w:rsidSect="000161CC">
      <w:footerReference w:type="default" r:id="rId7"/>
      <w:pgSz w:w="12240" w:h="15840"/>
      <w:pgMar w:top="1417" w:right="1417" w:bottom="1134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5CD" w:rsidRDefault="005735CD" w:rsidP="00F628FB">
      <w:pPr>
        <w:spacing w:after="0" w:line="240" w:lineRule="auto"/>
      </w:pPr>
      <w:r>
        <w:separator/>
      </w:r>
    </w:p>
  </w:endnote>
  <w:endnote w:type="continuationSeparator" w:id="0">
    <w:p w:rsidR="005735CD" w:rsidRDefault="005735CD" w:rsidP="00F6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5CD" w:rsidRDefault="005735CD">
    <w:pPr>
      <w:pStyle w:val="Footer"/>
      <w:jc w:val="center"/>
    </w:pPr>
    <w:fldSimple w:instr="PAGE   \* MERGEFORMAT">
      <w:r>
        <w:rPr>
          <w:noProof/>
        </w:rPr>
        <w:t>6</w:t>
      </w:r>
    </w:fldSimple>
  </w:p>
  <w:p w:rsidR="005735CD" w:rsidRDefault="00573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5CD" w:rsidRDefault="005735CD" w:rsidP="00F628FB">
      <w:pPr>
        <w:spacing w:after="0" w:line="240" w:lineRule="auto"/>
      </w:pPr>
      <w:r>
        <w:separator/>
      </w:r>
    </w:p>
  </w:footnote>
  <w:footnote w:type="continuationSeparator" w:id="0">
    <w:p w:rsidR="005735CD" w:rsidRDefault="005735CD" w:rsidP="00F62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27826"/>
    <w:multiLevelType w:val="hybridMultilevel"/>
    <w:tmpl w:val="BD6A3EAA"/>
    <w:lvl w:ilvl="0" w:tplc="35ECFD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EB4F7D"/>
    <w:multiLevelType w:val="hybridMultilevel"/>
    <w:tmpl w:val="C5D0317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890558C"/>
    <w:multiLevelType w:val="hybridMultilevel"/>
    <w:tmpl w:val="7F14B74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28FB"/>
    <w:rsid w:val="000161CC"/>
    <w:rsid w:val="000858EE"/>
    <w:rsid w:val="000A6752"/>
    <w:rsid w:val="000F15DD"/>
    <w:rsid w:val="001770B3"/>
    <w:rsid w:val="001F4567"/>
    <w:rsid w:val="00201A88"/>
    <w:rsid w:val="0027298E"/>
    <w:rsid w:val="002771D9"/>
    <w:rsid w:val="00323CCA"/>
    <w:rsid w:val="00373764"/>
    <w:rsid w:val="00376CFF"/>
    <w:rsid w:val="003B17D7"/>
    <w:rsid w:val="003B6A9F"/>
    <w:rsid w:val="003F684D"/>
    <w:rsid w:val="00447E9E"/>
    <w:rsid w:val="0052023D"/>
    <w:rsid w:val="00544489"/>
    <w:rsid w:val="005461BB"/>
    <w:rsid w:val="005735CD"/>
    <w:rsid w:val="00653B4B"/>
    <w:rsid w:val="006670FD"/>
    <w:rsid w:val="006B07F6"/>
    <w:rsid w:val="007143CF"/>
    <w:rsid w:val="007751E2"/>
    <w:rsid w:val="0077632B"/>
    <w:rsid w:val="007F79A1"/>
    <w:rsid w:val="008D47AD"/>
    <w:rsid w:val="009F0278"/>
    <w:rsid w:val="00AD015D"/>
    <w:rsid w:val="00BA7545"/>
    <w:rsid w:val="00C97723"/>
    <w:rsid w:val="00E4186C"/>
    <w:rsid w:val="00F40701"/>
    <w:rsid w:val="00F6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7F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161CC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4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1CC"/>
    <w:rPr>
      <w:rFonts w:ascii="Times New Roman" w:hAnsi="Times New Roman" w:cs="Times New Roman"/>
      <w:b/>
      <w:sz w:val="24"/>
      <w:lang w:eastAsia="cs-CZ"/>
    </w:rPr>
  </w:style>
  <w:style w:type="paragraph" w:styleId="NoSpacing">
    <w:name w:val="No Spacing"/>
    <w:uiPriority w:val="99"/>
    <w:qFormat/>
    <w:rsid w:val="00F628FB"/>
  </w:style>
  <w:style w:type="paragraph" w:styleId="Header">
    <w:name w:val="header"/>
    <w:basedOn w:val="Normal"/>
    <w:link w:val="HeaderChar"/>
    <w:uiPriority w:val="99"/>
    <w:rsid w:val="00F628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28F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628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28FB"/>
    <w:rPr>
      <w:rFonts w:cs="Times New Roman"/>
    </w:rPr>
  </w:style>
  <w:style w:type="character" w:customStyle="1" w:styleId="CharChar4">
    <w:name w:val="Char Char4"/>
    <w:uiPriority w:val="99"/>
    <w:locked/>
    <w:rsid w:val="007751E2"/>
    <w:rPr>
      <w:sz w:val="24"/>
    </w:rPr>
  </w:style>
  <w:style w:type="character" w:styleId="Hyperlink">
    <w:name w:val="Hyperlink"/>
    <w:basedOn w:val="DefaultParagraphFont"/>
    <w:uiPriority w:val="99"/>
    <w:rsid w:val="00201A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5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6</Pages>
  <Words>1273</Words>
  <Characters>7257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Prešovská univerzita v Prešove</dc:title>
  <dc:subject/>
  <dc:creator>Eva</dc:creator>
  <cp:keywords/>
  <dc:description/>
  <cp:lastModifiedBy>Ján Husár</cp:lastModifiedBy>
  <cp:revision>3</cp:revision>
  <dcterms:created xsi:type="dcterms:W3CDTF">2014-05-16T08:29:00Z</dcterms:created>
  <dcterms:modified xsi:type="dcterms:W3CDTF">2014-05-16T08:30:00Z</dcterms:modified>
</cp:coreProperties>
</file>